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382D6" w14:textId="7B8D63D7" w:rsidR="00EA02B1" w:rsidRPr="00C8552F" w:rsidRDefault="00C8552F" w:rsidP="00EA02B1">
      <w:pPr>
        <w:pStyle w:val="Logo"/>
        <w:rPr>
          <w:lang w:val="en-GB" w:eastAsia="zh-CN" w:bidi="th-TH"/>
        </w:rPr>
      </w:pPr>
      <w:bookmarkStart w:id="0" w:name="_Toc211877944"/>
      <w:r>
        <w:rPr>
          <w:noProof/>
        </w:rPr>
        <w:drawing>
          <wp:inline distT="0" distB="0" distL="0" distR="0" wp14:anchorId="7A3C35C0" wp14:editId="72E6F052">
            <wp:extent cx="2178562" cy="528067"/>
            <wp:effectExtent l="0" t="0" r="0" b="5715"/>
            <wp:docPr id="384149268" name="Picture 2" descr="Australian Govern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149268" name="Picture 2" descr="Australian Government logo&#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78562" cy="528067"/>
                    </a:xfrm>
                    <a:prstGeom prst="rect">
                      <a:avLst/>
                    </a:prstGeom>
                  </pic:spPr>
                </pic:pic>
              </a:graphicData>
            </a:graphic>
          </wp:inline>
        </w:drawing>
      </w:r>
    </w:p>
    <w:p w14:paraId="3E8A33C3" w14:textId="2433731A" w:rsidR="00CE6B92" w:rsidRPr="00C8552F" w:rsidRDefault="00CE6B92" w:rsidP="00CE6B92">
      <w:pPr>
        <w:pStyle w:val="Heading1"/>
        <w:rPr>
          <w:lang w:val="en-GB" w:eastAsia="zh-CN" w:bidi="th-TH"/>
        </w:rPr>
      </w:pPr>
      <w:bookmarkStart w:id="1" w:name="_Toc218512092"/>
      <w:bookmarkStart w:id="2" w:name="_Toc218512175"/>
      <w:bookmarkStart w:id="3" w:name="_Toc218517305"/>
      <w:r w:rsidRPr="00C8552F">
        <w:rPr>
          <w:lang w:val="en-GB" w:eastAsia="zh-CN" w:bidi="th-TH"/>
        </w:rPr>
        <w:t xml:space="preserve">Information </w:t>
      </w:r>
      <w:r w:rsidR="0024536E" w:rsidRPr="00C8552F">
        <w:rPr>
          <w:lang w:val="en-GB" w:eastAsia="zh-CN" w:bidi="th-TH"/>
        </w:rPr>
        <w:t>r</w:t>
      </w:r>
      <w:r w:rsidRPr="00C8552F">
        <w:rPr>
          <w:lang w:val="en-GB" w:eastAsia="zh-CN" w:bidi="th-TH"/>
        </w:rPr>
        <w:t>esilience</w:t>
      </w:r>
      <w:bookmarkEnd w:id="0"/>
      <w:bookmarkEnd w:id="1"/>
      <w:bookmarkEnd w:id="2"/>
      <w:bookmarkEnd w:id="3"/>
      <w:r w:rsidRPr="00C8552F">
        <w:rPr>
          <w:lang w:val="en-GB" w:eastAsia="zh-CN" w:bidi="th-TH"/>
        </w:rPr>
        <w:t xml:space="preserve"> </w:t>
      </w:r>
    </w:p>
    <w:p w14:paraId="56F0A4B1" w14:textId="79634D77" w:rsidR="00CE6B92" w:rsidRPr="00C8552F" w:rsidRDefault="00D85D93" w:rsidP="00CE6B92">
      <w:pPr>
        <w:pStyle w:val="Subtitle"/>
        <w:rPr>
          <w:lang w:val="en-GB" w:eastAsia="zh-CN" w:bidi="th-TH"/>
        </w:rPr>
      </w:pPr>
      <w:r w:rsidRPr="00C8552F">
        <w:rPr>
          <w:lang w:val="en-GB" w:eastAsia="zh-CN" w:bidi="th-TH"/>
        </w:rPr>
        <w:t>The</w:t>
      </w:r>
      <w:r w:rsidR="00CE6B92" w:rsidRPr="00C8552F">
        <w:rPr>
          <w:lang w:val="en-GB" w:eastAsia="zh-CN" w:bidi="th-TH"/>
        </w:rPr>
        <w:t xml:space="preserve"> role </w:t>
      </w:r>
      <w:r w:rsidRPr="00C8552F">
        <w:rPr>
          <w:lang w:val="en-GB" w:eastAsia="zh-CN" w:bidi="th-TH"/>
        </w:rPr>
        <w:t>of</w:t>
      </w:r>
      <w:r w:rsidR="00CE6B92" w:rsidRPr="00C8552F">
        <w:rPr>
          <w:lang w:val="en-GB" w:eastAsia="zh-CN" w:bidi="th-TH"/>
        </w:rPr>
        <w:t xml:space="preserve"> cultural and community</w:t>
      </w:r>
      <w:r w:rsidR="00C8552F">
        <w:rPr>
          <w:lang w:val="en-GB" w:eastAsia="zh-CN" w:bidi="th-TH"/>
        </w:rPr>
        <w:t> </w:t>
      </w:r>
      <w:r w:rsidR="00CE6B92" w:rsidRPr="00C8552F">
        <w:rPr>
          <w:lang w:val="en-GB" w:eastAsia="zh-CN" w:bidi="th-TH"/>
        </w:rPr>
        <w:t xml:space="preserve">institutions </w:t>
      </w:r>
      <w:r w:rsidR="00C8552F">
        <w:rPr>
          <w:lang w:val="en-GB" w:eastAsia="zh-CN" w:bidi="th-TH"/>
        </w:rPr>
        <w:br/>
      </w:r>
    </w:p>
    <w:p w14:paraId="22094CC4" w14:textId="2391D43B" w:rsidR="00277C4D" w:rsidRDefault="00CE6B92" w:rsidP="00277C4D">
      <w:pPr>
        <w:pStyle w:val="Tagline"/>
        <w:spacing w:before="6000"/>
        <w:rPr>
          <w:rStyle w:val="Strong"/>
        </w:rPr>
      </w:pPr>
      <w:r w:rsidRPr="00C8552F">
        <w:rPr>
          <w:lang w:val="en-GB" w:eastAsia="zh-CN" w:bidi="th-TH"/>
        </w:rPr>
        <w:t>A report prepared by the Academy of the Social Sciences in Australia for the</w:t>
      </w:r>
      <w:r w:rsidR="00E46DFD">
        <w:rPr>
          <w:lang w:val="en-GB" w:eastAsia="zh-CN" w:bidi="th-TH"/>
        </w:rPr>
        <w:t> </w:t>
      </w:r>
      <w:r w:rsidR="00917AAC" w:rsidRPr="00C8552F">
        <w:rPr>
          <w:rStyle w:val="Strong"/>
        </w:rPr>
        <w:t>National Science and Technology Council</w:t>
      </w:r>
      <w:r w:rsidR="00277C4D">
        <w:rPr>
          <w:rStyle w:val="Strong"/>
        </w:rPr>
        <w:br w:type="page"/>
      </w:r>
    </w:p>
    <w:p w14:paraId="7B410FAB" w14:textId="610811C7" w:rsidR="009A1E7E" w:rsidRDefault="009A1E7E" w:rsidP="00C8552F">
      <w:pPr>
        <w:pStyle w:val="Heading2Prelims"/>
      </w:pPr>
      <w:bookmarkStart w:id="4" w:name="_Toc19023739"/>
      <w:bookmarkStart w:id="5" w:name="_Toc19289802"/>
      <w:bookmarkStart w:id="6" w:name="_Toc144911605"/>
      <w:bookmarkStart w:id="7" w:name="_Toc155191312"/>
      <w:bookmarkStart w:id="8" w:name="_Toc211872671"/>
      <w:bookmarkStart w:id="9" w:name="_Toc211872715"/>
      <w:bookmarkStart w:id="10" w:name="_Toc218512093"/>
      <w:bookmarkStart w:id="11" w:name="_Toc218512176"/>
      <w:bookmarkStart w:id="12" w:name="_Toc218517306"/>
      <w:r w:rsidRPr="001D216A">
        <w:lastRenderedPageBreak/>
        <w:t>Copyright</w:t>
      </w:r>
      <w:bookmarkEnd w:id="4"/>
      <w:bookmarkEnd w:id="5"/>
      <w:bookmarkEnd w:id="6"/>
      <w:bookmarkEnd w:id="7"/>
      <w:bookmarkEnd w:id="8"/>
      <w:bookmarkEnd w:id="9"/>
      <w:bookmarkEnd w:id="10"/>
      <w:bookmarkEnd w:id="11"/>
      <w:bookmarkEnd w:id="12"/>
    </w:p>
    <w:p w14:paraId="0A0313A0" w14:textId="7419FE22" w:rsidR="009A1E7E" w:rsidRPr="0068286F" w:rsidRDefault="009A1E7E" w:rsidP="00EA02B1">
      <w:pPr>
        <w:pStyle w:val="Prelims"/>
        <w:rPr>
          <w:rStyle w:val="Strong"/>
        </w:rPr>
      </w:pPr>
      <w:r w:rsidRPr="0068286F">
        <w:rPr>
          <w:rStyle w:val="Strong"/>
        </w:rPr>
        <w:t xml:space="preserve">© Commonwealth of </w:t>
      </w:r>
      <w:r w:rsidRPr="000F2564">
        <w:rPr>
          <w:rStyle w:val="Strong"/>
        </w:rPr>
        <w:t xml:space="preserve">Australia </w:t>
      </w:r>
      <w:r>
        <w:rPr>
          <w:rStyle w:val="Strong"/>
        </w:rPr>
        <w:t>202</w:t>
      </w:r>
      <w:r w:rsidR="00DB48C3">
        <w:rPr>
          <w:rStyle w:val="Strong"/>
        </w:rPr>
        <w:t>6</w:t>
      </w:r>
    </w:p>
    <w:p w14:paraId="3314A862" w14:textId="77777777" w:rsidR="009A1E7E" w:rsidRPr="0068286F" w:rsidRDefault="009A1E7E" w:rsidP="00EA02B1">
      <w:pPr>
        <w:pStyle w:val="Prelims"/>
        <w:rPr>
          <w:rStyle w:val="Strong"/>
        </w:rPr>
      </w:pPr>
      <w:r w:rsidRPr="0068286F">
        <w:rPr>
          <w:rStyle w:val="Strong"/>
        </w:rPr>
        <w:t>Ownership of intellectual property rights</w:t>
      </w:r>
    </w:p>
    <w:p w14:paraId="3A8C877A" w14:textId="77777777" w:rsidR="009A1E7E" w:rsidRDefault="009A1E7E" w:rsidP="00EA02B1">
      <w:pPr>
        <w:pStyle w:val="Prelims"/>
      </w:pPr>
      <w:r>
        <w:t>Unless otherwise noted, copyright (and any other intellectual property rights, if any) in this publication is owned by the Commonwealth of Australia.</w:t>
      </w:r>
    </w:p>
    <w:p w14:paraId="3C361EEC" w14:textId="77777777" w:rsidR="009A1E7E" w:rsidRPr="001D216A" w:rsidRDefault="009A1E7E" w:rsidP="00EA02B1">
      <w:pPr>
        <w:pStyle w:val="Prelims"/>
        <w:rPr>
          <w:rStyle w:val="Strong"/>
        </w:rPr>
      </w:pPr>
      <w:r>
        <w:rPr>
          <w:noProof/>
          <w:lang w:eastAsia="en-AU"/>
        </w:rPr>
        <w:drawing>
          <wp:inline distT="0" distB="0" distL="0" distR="0" wp14:anchorId="12CF682C" wp14:editId="39DC199B">
            <wp:extent cx="1128889" cy="440267"/>
            <wp:effectExtent l="0" t="0" r="0" b="0"/>
            <wp:docPr id="4" name="Picture 4" descr="Creative Commons CC BY logo" title="Creative Commons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ative commons.png"/>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129401" cy="440467"/>
                    </a:xfrm>
                    <a:prstGeom prst="rect">
                      <a:avLst/>
                    </a:prstGeom>
                    <a:ln>
                      <a:noFill/>
                    </a:ln>
                    <a:extLst>
                      <a:ext uri="{53640926-AAD7-44D8-BBD7-CCE9431645EC}">
                        <a14:shadowObscured xmlns:a14="http://schemas.microsoft.com/office/drawing/2010/main"/>
                      </a:ext>
                    </a:extLst>
                  </pic:spPr>
                </pic:pic>
              </a:graphicData>
            </a:graphic>
          </wp:inline>
        </w:drawing>
      </w:r>
    </w:p>
    <w:p w14:paraId="034D2824" w14:textId="77777777" w:rsidR="009A1E7E" w:rsidRPr="001D216A" w:rsidRDefault="009A1E7E" w:rsidP="00EA02B1">
      <w:pPr>
        <w:pStyle w:val="Prelims"/>
        <w:rPr>
          <w:rStyle w:val="Strong"/>
        </w:rPr>
      </w:pPr>
      <w:hyperlink r:id="rId13" w:history="1">
        <w:r w:rsidRPr="001E0B1D">
          <w:rPr>
            <w:rStyle w:val="Hyperlink"/>
            <w:bCs/>
          </w:rPr>
          <w:t>Creative Commons Attribution 4.0 International Licence CC BY 4.0</w:t>
        </w:r>
      </w:hyperlink>
    </w:p>
    <w:p w14:paraId="4209AFD7" w14:textId="77777777" w:rsidR="009A1E7E" w:rsidRPr="0066416C" w:rsidRDefault="009A1E7E" w:rsidP="00EA02B1">
      <w:pPr>
        <w:pStyle w:val="Prelims"/>
      </w:pPr>
      <w:r w:rsidRPr="0066416C">
        <w:t>All material in this publication is licensed under a Creative Commons Attribution 4.0 International Licence, with the exception of:</w:t>
      </w:r>
    </w:p>
    <w:p w14:paraId="08AB9EE2" w14:textId="77777777" w:rsidR="009A1E7E" w:rsidRPr="00C66984" w:rsidRDefault="009A1E7E" w:rsidP="00EA02B1">
      <w:pPr>
        <w:pStyle w:val="PrelimsBullets"/>
      </w:pPr>
      <w:r w:rsidRPr="0066416C">
        <w:t xml:space="preserve">the </w:t>
      </w:r>
      <w:r w:rsidRPr="00C66984">
        <w:t>Commonwealth Coat of Arms</w:t>
      </w:r>
    </w:p>
    <w:p w14:paraId="3AFAEB11" w14:textId="77777777" w:rsidR="009A1E7E" w:rsidRPr="00C66984" w:rsidRDefault="009A1E7E" w:rsidP="00EA02B1">
      <w:pPr>
        <w:pStyle w:val="PrelimsBullets"/>
      </w:pPr>
      <w:r w:rsidRPr="00C66984">
        <w:t>content supplied by third parties</w:t>
      </w:r>
    </w:p>
    <w:p w14:paraId="4718B009" w14:textId="77777777" w:rsidR="009A1E7E" w:rsidRPr="00C66984" w:rsidRDefault="009A1E7E" w:rsidP="00EA02B1">
      <w:pPr>
        <w:pStyle w:val="PrelimsBullets"/>
      </w:pPr>
      <w:r w:rsidRPr="00C66984">
        <w:t>logos</w:t>
      </w:r>
    </w:p>
    <w:p w14:paraId="19262057" w14:textId="77777777" w:rsidR="009A1E7E" w:rsidRPr="0066416C" w:rsidRDefault="009A1E7E" w:rsidP="00EA02B1">
      <w:pPr>
        <w:pStyle w:val="PrelimsBullets"/>
      </w:pPr>
      <w:r w:rsidRPr="00C66984">
        <w:t>any material protected</w:t>
      </w:r>
      <w:r w:rsidRPr="0066416C">
        <w:t xml:space="preserve"> by trademark or otherwise noted in this publication.</w:t>
      </w:r>
    </w:p>
    <w:p w14:paraId="66B35FA0" w14:textId="77777777" w:rsidR="009A1E7E" w:rsidRPr="0066416C" w:rsidRDefault="009A1E7E" w:rsidP="00EA02B1">
      <w:pPr>
        <w:pStyle w:val="Prelims"/>
      </w:pPr>
      <w:r w:rsidRPr="0066416C">
        <w:t xml:space="preserve">Creative Commons Attribution 4.0 International Licence is a standard form licence agreement that allows you to copy, distribute, transmit and adapt this publication provided you attribute the work. </w:t>
      </w:r>
      <w:r w:rsidRPr="00393784">
        <w:t>A </w:t>
      </w:r>
      <w:r w:rsidRPr="0066416C">
        <w:t xml:space="preserve">summary of the licence terms is available from </w:t>
      </w:r>
      <w:hyperlink r:id="rId14" w:history="1">
        <w:r w:rsidRPr="00DB39DE">
          <w:rPr>
            <w:rStyle w:val="Hyperlink"/>
          </w:rPr>
          <w:t>https://creativecommons.org/licenses/by/4.0/</w:t>
        </w:r>
      </w:hyperlink>
      <w:r w:rsidRPr="0066416C">
        <w:t xml:space="preserve">. The full licence terms are available from </w:t>
      </w:r>
      <w:hyperlink r:id="rId15" w:history="1">
        <w:r w:rsidRPr="00DB39DE">
          <w:rPr>
            <w:rStyle w:val="Hyperlink"/>
          </w:rPr>
          <w:t>https://creativecommons.org/licenses/by/4.0/legalcode</w:t>
        </w:r>
      </w:hyperlink>
      <w:r w:rsidRPr="0066416C">
        <w:t>.</w:t>
      </w:r>
    </w:p>
    <w:p w14:paraId="1AF841F7" w14:textId="537A8140" w:rsidR="00F91D71" w:rsidRPr="00F91D71" w:rsidRDefault="009A1E7E" w:rsidP="00F91D71">
      <w:pPr>
        <w:pStyle w:val="Prelims"/>
      </w:pPr>
      <w:r>
        <w:t>Content contained herein should be attributed as</w:t>
      </w:r>
      <w:r w:rsidR="00F91D71">
        <w:t>:</w:t>
      </w:r>
      <w:r>
        <w:t xml:space="preserve"> </w:t>
      </w:r>
      <w:r w:rsidR="00F91D71" w:rsidRPr="00F91D71">
        <w:t xml:space="preserve">Academy of the Social Sciences in Australia (2026) </w:t>
      </w:r>
      <w:r w:rsidR="00F91D71" w:rsidRPr="00F91D71">
        <w:rPr>
          <w:i/>
          <w:iCs/>
        </w:rPr>
        <w:t xml:space="preserve">Information resilience: </w:t>
      </w:r>
      <w:r w:rsidR="00CC7ACA">
        <w:rPr>
          <w:i/>
          <w:iCs/>
        </w:rPr>
        <w:t>t</w:t>
      </w:r>
      <w:r w:rsidR="00F91D71" w:rsidRPr="00F91D71">
        <w:rPr>
          <w:i/>
          <w:iCs/>
        </w:rPr>
        <w:t>he role of cultural and community institutions</w:t>
      </w:r>
      <w:r w:rsidR="00F91D71" w:rsidRPr="00005753">
        <w:t xml:space="preserve">, report to the National Science and Technology Council, </w:t>
      </w:r>
      <w:r w:rsidR="00F91D71" w:rsidRPr="00F91D71">
        <w:t>Australian Government Office of the Chief Scientist.</w:t>
      </w:r>
    </w:p>
    <w:p w14:paraId="656633A5" w14:textId="77777777" w:rsidR="009A1E7E" w:rsidRDefault="009A1E7E" w:rsidP="00EA02B1">
      <w:pPr>
        <w:pStyle w:val="Prelims"/>
      </w:pPr>
      <w:r w:rsidRPr="0066416C">
        <w:t>This notice excludes the Commonwealth Coat of Arms, any logos and any material protected by trademark or otherwise noted in the publication, from the application of the Creative Commons licence. These are all forms of property which the Commonwealth cannot or usually would not licence others to use.</w:t>
      </w:r>
    </w:p>
    <w:p w14:paraId="1CD81BE8" w14:textId="77777777" w:rsidR="009A1E7E" w:rsidRPr="001D216A" w:rsidRDefault="009A1E7E" w:rsidP="00B376A0">
      <w:pPr>
        <w:pStyle w:val="Heading2Prelims"/>
      </w:pPr>
      <w:bookmarkStart w:id="13" w:name="_Toc155191314"/>
      <w:bookmarkStart w:id="14" w:name="_Toc211872672"/>
      <w:bookmarkStart w:id="15" w:name="_Toc211872716"/>
      <w:bookmarkStart w:id="16" w:name="_Toc218512094"/>
      <w:bookmarkStart w:id="17" w:name="_Toc218512177"/>
      <w:bookmarkStart w:id="18" w:name="_Toc218517307"/>
      <w:r w:rsidRPr="001D216A">
        <w:t>Disclaimer</w:t>
      </w:r>
      <w:bookmarkEnd w:id="13"/>
      <w:bookmarkEnd w:id="14"/>
      <w:bookmarkEnd w:id="15"/>
      <w:bookmarkEnd w:id="16"/>
      <w:bookmarkEnd w:id="17"/>
      <w:bookmarkEnd w:id="18"/>
    </w:p>
    <w:p w14:paraId="29B35A64" w14:textId="55A1B43E" w:rsidR="009A1E7E" w:rsidRDefault="009A1E7E" w:rsidP="00EA02B1">
      <w:pPr>
        <w:pStyle w:val="Prelims"/>
      </w:pPr>
      <w:r>
        <w:t xml:space="preserve">The purpose of this publication is to </w:t>
      </w:r>
      <w:r w:rsidR="00133222" w:rsidRPr="00413BE1">
        <w:t xml:space="preserve">provide an evidence </w:t>
      </w:r>
      <w:proofErr w:type="spellStart"/>
      <w:r w:rsidR="00133222" w:rsidRPr="00413BE1">
        <w:t>base</w:t>
      </w:r>
      <w:proofErr w:type="spellEnd"/>
      <w:r w:rsidR="00133222" w:rsidRPr="00413BE1">
        <w:t xml:space="preserve"> on information resilience for policy makers.</w:t>
      </w:r>
    </w:p>
    <w:p w14:paraId="609F7043" w14:textId="77777777" w:rsidR="009A1E7E" w:rsidRDefault="009A1E7E" w:rsidP="00EA02B1">
      <w:pPr>
        <w:pStyle w:val="Prelims"/>
      </w:pPr>
      <w:r>
        <w:t>The Commonwealth as represented by the Department of Industry, Science and Resources has exercised due care and skill in the preparation and compilation of the information in this publication.</w:t>
      </w:r>
    </w:p>
    <w:p w14:paraId="5FA2B48C" w14:textId="77777777" w:rsidR="009A1E7E" w:rsidRDefault="009A1E7E" w:rsidP="00EA02B1">
      <w:pPr>
        <w:pStyle w:val="Prelims"/>
      </w:pPr>
      <w:r>
        <w:t>The Commonwealth does not guarantee the accuracy, reliability or completeness of the information contained in this publication. Interested parties should make their own independent inquires and obtain their own independent professional advice prior to relying on, or making any decisions in relation to, the information provided in this publication.</w:t>
      </w:r>
    </w:p>
    <w:p w14:paraId="78519675" w14:textId="77777777" w:rsidR="00823367" w:rsidRDefault="009A1E7E" w:rsidP="00EA02B1">
      <w:pPr>
        <w:pStyle w:val="Prelims"/>
      </w:pPr>
      <w:r>
        <w:t>The Commonwealth accepts no responsibility or liability for any damage, loss or expense incurred as a result of the reliance on information contained in this publication. This publication does not indicate commitment by the Commonwealth to a particular course of action.</w:t>
      </w:r>
    </w:p>
    <w:p w14:paraId="148171A5" w14:textId="77777777" w:rsidR="00823367" w:rsidRPr="00823367" w:rsidRDefault="00823367" w:rsidP="00B376A0">
      <w:pPr>
        <w:pStyle w:val="Heading2"/>
        <w:rPr>
          <w:lang w:val="en-GB" w:eastAsia="zh-CN" w:bidi="th-TH"/>
        </w:rPr>
      </w:pPr>
      <w:bookmarkStart w:id="19" w:name="_Toc218517308"/>
      <w:r w:rsidRPr="00823367">
        <w:rPr>
          <w:lang w:val="en-GB" w:eastAsia="zh-CN" w:bidi="th-TH"/>
        </w:rPr>
        <w:t>Acknowledgement of Country</w:t>
      </w:r>
      <w:bookmarkEnd w:id="19"/>
    </w:p>
    <w:p w14:paraId="11A4F667" w14:textId="7C8F53E9" w:rsidR="00EA02B1" w:rsidRPr="00823367" w:rsidRDefault="00823367" w:rsidP="00823367">
      <w:pPr>
        <w:rPr>
          <w:highlight w:val="white"/>
          <w:lang w:val="en-GB" w:eastAsia="zh-CN" w:bidi="th-TH"/>
        </w:rPr>
      </w:pPr>
      <w:r w:rsidRPr="00823367">
        <w:rPr>
          <w:lang w:val="en-GB" w:eastAsia="zh-CN" w:bidi="th-TH"/>
        </w:rPr>
        <w:t>The Academy of the Social Sciences in Australia acknowledges Traditional Owners of Country throughout Australia and recognises the continuing connection to lands, waters and communities. We pay our respect to Aboriginal and Torres</w:t>
      </w:r>
      <w:r>
        <w:rPr>
          <w:lang w:val="en-GB" w:eastAsia="zh-CN" w:bidi="th-TH"/>
        </w:rPr>
        <w:t> </w:t>
      </w:r>
      <w:r w:rsidRPr="00823367">
        <w:rPr>
          <w:lang w:val="en-GB" w:eastAsia="zh-CN" w:bidi="th-TH"/>
        </w:rPr>
        <w:t>Strait Islander cultures</w:t>
      </w:r>
      <w:r w:rsidR="00AC39D6">
        <w:rPr>
          <w:lang w:val="en-GB" w:eastAsia="zh-CN" w:bidi="th-TH"/>
        </w:rPr>
        <w:t>,</w:t>
      </w:r>
      <w:r w:rsidRPr="00823367">
        <w:rPr>
          <w:lang w:val="en-GB" w:eastAsia="zh-CN" w:bidi="th-TH"/>
        </w:rPr>
        <w:t xml:space="preserve"> and to Elders past and present. </w:t>
      </w:r>
      <w:r w:rsidR="00EA02B1" w:rsidRPr="00823367">
        <w:rPr>
          <w:highlight w:val="white"/>
          <w:lang w:val="en-GB" w:eastAsia="zh-CN" w:bidi="th-TH"/>
        </w:rPr>
        <w:br w:type="page"/>
      </w:r>
    </w:p>
    <w:bookmarkStart w:id="20" w:name="_Toc218517309" w:displacedByCustomXml="next"/>
    <w:bookmarkStart w:id="21" w:name="_Toc218512179" w:displacedByCustomXml="next"/>
    <w:bookmarkStart w:id="22" w:name="_Toc218512096" w:displacedByCustomXml="next"/>
    <w:sdt>
      <w:sdtPr>
        <w:rPr>
          <w:rFonts w:asciiTheme="minorHAnsi" w:eastAsiaTheme="minorEastAsia" w:hAnsiTheme="minorHAnsi" w:cstheme="minorBidi"/>
          <w:color w:val="auto"/>
          <w:sz w:val="20"/>
          <w:szCs w:val="20"/>
        </w:rPr>
        <w:id w:val="1748306703"/>
        <w:docPartObj>
          <w:docPartGallery w:val="Table of Contents"/>
          <w:docPartUnique/>
        </w:docPartObj>
      </w:sdtPr>
      <w:sdtEndPr>
        <w:rPr>
          <w:b/>
          <w:sz w:val="24"/>
        </w:rPr>
      </w:sdtEndPr>
      <w:sdtContent>
        <w:p w14:paraId="76E263FB" w14:textId="042254C6" w:rsidR="00A61C18" w:rsidRDefault="00A61C18" w:rsidP="00A61C18">
          <w:pPr>
            <w:pStyle w:val="Heading2"/>
          </w:pPr>
          <w:r>
            <w:t>Contents</w:t>
          </w:r>
          <w:bookmarkEnd w:id="22"/>
          <w:bookmarkEnd w:id="21"/>
          <w:bookmarkEnd w:id="20"/>
        </w:p>
        <w:p w14:paraId="0A34026B" w14:textId="30C5DED6" w:rsidR="00B376A0" w:rsidRDefault="00A61C18" w:rsidP="00B376A0">
          <w:pPr>
            <w:pStyle w:val="TOC2"/>
            <w:rPr>
              <w:rFonts w:asciiTheme="minorHAnsi" w:eastAsiaTheme="minorEastAsia" w:hAnsiTheme="minorHAnsi"/>
              <w:color w:val="auto"/>
              <w:kern w:val="2"/>
              <w:szCs w:val="24"/>
              <w:lang w:eastAsia="en-AU"/>
              <w14:ligatures w14:val="standardContextual"/>
            </w:rPr>
          </w:pPr>
          <w:r>
            <w:rPr>
              <w:noProof w:val="0"/>
            </w:rPr>
            <w:fldChar w:fldCharType="begin"/>
          </w:r>
          <w:r>
            <w:instrText xml:space="preserve"> TOC \o "1-3" \h \z \u </w:instrText>
          </w:r>
          <w:r>
            <w:rPr>
              <w:noProof w:val="0"/>
            </w:rPr>
            <w:fldChar w:fldCharType="separate"/>
          </w:r>
          <w:hyperlink w:anchor="_Toc218517308" w:history="1">
            <w:r w:rsidR="00B376A0" w:rsidRPr="00EE73FD">
              <w:rPr>
                <w:rStyle w:val="Hyperlink"/>
                <w:lang w:val="en-GB" w:eastAsia="zh-CN" w:bidi="th-TH"/>
              </w:rPr>
              <w:t>Acknowledgement of Country</w:t>
            </w:r>
            <w:r w:rsidR="00B376A0">
              <w:rPr>
                <w:webHidden/>
              </w:rPr>
              <w:tab/>
            </w:r>
            <w:r w:rsidR="00B376A0">
              <w:rPr>
                <w:webHidden/>
              </w:rPr>
              <w:fldChar w:fldCharType="begin"/>
            </w:r>
            <w:r w:rsidR="00B376A0">
              <w:rPr>
                <w:webHidden/>
              </w:rPr>
              <w:instrText xml:space="preserve"> PAGEREF _Toc218517308 \h </w:instrText>
            </w:r>
            <w:r w:rsidR="00B376A0">
              <w:rPr>
                <w:webHidden/>
              </w:rPr>
            </w:r>
            <w:r w:rsidR="00B376A0">
              <w:rPr>
                <w:webHidden/>
              </w:rPr>
              <w:fldChar w:fldCharType="separate"/>
            </w:r>
            <w:r w:rsidR="00912699">
              <w:rPr>
                <w:webHidden/>
              </w:rPr>
              <w:t>2</w:t>
            </w:r>
            <w:r w:rsidR="00B376A0">
              <w:rPr>
                <w:webHidden/>
              </w:rPr>
              <w:fldChar w:fldCharType="end"/>
            </w:r>
          </w:hyperlink>
        </w:p>
        <w:p w14:paraId="1DC23184" w14:textId="062AA9A2" w:rsidR="00B376A0" w:rsidRDefault="00B376A0">
          <w:pPr>
            <w:pStyle w:val="TOC2"/>
            <w:rPr>
              <w:rFonts w:asciiTheme="minorHAnsi" w:eastAsiaTheme="minorEastAsia" w:hAnsiTheme="minorHAnsi"/>
              <w:color w:val="auto"/>
              <w:kern w:val="2"/>
              <w:szCs w:val="24"/>
              <w:lang w:eastAsia="en-AU"/>
              <w14:ligatures w14:val="standardContextual"/>
            </w:rPr>
          </w:pPr>
          <w:hyperlink w:anchor="_Toc218517310" w:history="1">
            <w:r w:rsidRPr="00EE73FD">
              <w:rPr>
                <w:rStyle w:val="Hyperlink"/>
                <w:highlight w:val="white"/>
                <w:lang w:val="en-GB" w:eastAsia="zh-CN" w:bidi="th-TH"/>
              </w:rPr>
              <w:t>Executive summary</w:t>
            </w:r>
            <w:r>
              <w:rPr>
                <w:webHidden/>
              </w:rPr>
              <w:tab/>
            </w:r>
            <w:r>
              <w:rPr>
                <w:webHidden/>
              </w:rPr>
              <w:fldChar w:fldCharType="begin"/>
            </w:r>
            <w:r>
              <w:rPr>
                <w:webHidden/>
              </w:rPr>
              <w:instrText xml:space="preserve"> PAGEREF _Toc218517310 \h </w:instrText>
            </w:r>
            <w:r>
              <w:rPr>
                <w:webHidden/>
              </w:rPr>
            </w:r>
            <w:r>
              <w:rPr>
                <w:webHidden/>
              </w:rPr>
              <w:fldChar w:fldCharType="separate"/>
            </w:r>
            <w:r w:rsidR="00912699">
              <w:rPr>
                <w:webHidden/>
              </w:rPr>
              <w:t>4</w:t>
            </w:r>
            <w:r>
              <w:rPr>
                <w:webHidden/>
              </w:rPr>
              <w:fldChar w:fldCharType="end"/>
            </w:r>
          </w:hyperlink>
        </w:p>
        <w:p w14:paraId="15F9314C" w14:textId="6249BDC8" w:rsidR="00B376A0" w:rsidRDefault="00B376A0">
          <w:pPr>
            <w:pStyle w:val="TOC2"/>
            <w:rPr>
              <w:rFonts w:asciiTheme="minorHAnsi" w:eastAsiaTheme="minorEastAsia" w:hAnsiTheme="minorHAnsi"/>
              <w:color w:val="auto"/>
              <w:kern w:val="2"/>
              <w:szCs w:val="24"/>
              <w:lang w:eastAsia="en-AU"/>
              <w14:ligatures w14:val="standardContextual"/>
            </w:rPr>
          </w:pPr>
          <w:hyperlink w:anchor="_Toc218517312" w:history="1">
            <w:r w:rsidRPr="00EE73FD">
              <w:rPr>
                <w:rStyle w:val="Hyperlink"/>
                <w:highlight w:val="white"/>
                <w:lang w:val="en-GB" w:eastAsia="zh-CN" w:bidi="th-TH"/>
              </w:rPr>
              <w:t>Introduction</w:t>
            </w:r>
            <w:r>
              <w:rPr>
                <w:webHidden/>
              </w:rPr>
              <w:tab/>
            </w:r>
            <w:r>
              <w:rPr>
                <w:webHidden/>
              </w:rPr>
              <w:fldChar w:fldCharType="begin"/>
            </w:r>
            <w:r>
              <w:rPr>
                <w:webHidden/>
              </w:rPr>
              <w:instrText xml:space="preserve"> PAGEREF _Toc218517312 \h </w:instrText>
            </w:r>
            <w:r>
              <w:rPr>
                <w:webHidden/>
              </w:rPr>
            </w:r>
            <w:r>
              <w:rPr>
                <w:webHidden/>
              </w:rPr>
              <w:fldChar w:fldCharType="separate"/>
            </w:r>
            <w:r w:rsidR="00912699">
              <w:rPr>
                <w:webHidden/>
              </w:rPr>
              <w:t>6</w:t>
            </w:r>
            <w:r>
              <w:rPr>
                <w:webHidden/>
              </w:rPr>
              <w:fldChar w:fldCharType="end"/>
            </w:r>
          </w:hyperlink>
        </w:p>
        <w:p w14:paraId="4DEC9EBA" w14:textId="7851EA5A" w:rsidR="00B376A0" w:rsidRDefault="00B376A0">
          <w:pPr>
            <w:pStyle w:val="TOC2"/>
            <w:rPr>
              <w:rFonts w:asciiTheme="minorHAnsi" w:eastAsiaTheme="minorEastAsia" w:hAnsiTheme="minorHAnsi"/>
              <w:color w:val="auto"/>
              <w:kern w:val="2"/>
              <w:szCs w:val="24"/>
              <w:lang w:eastAsia="en-AU"/>
              <w14:ligatures w14:val="standardContextual"/>
            </w:rPr>
          </w:pPr>
          <w:hyperlink w:anchor="_Toc218517314" w:history="1">
            <w:r w:rsidRPr="00EE73FD">
              <w:rPr>
                <w:rStyle w:val="Hyperlink"/>
                <w:highlight w:val="white"/>
                <w:lang w:val="en-GB" w:eastAsia="zh-CN" w:bidi="th-TH"/>
              </w:rPr>
              <w:t>1</w:t>
            </w:r>
            <w:r>
              <w:rPr>
                <w:rFonts w:asciiTheme="minorHAnsi" w:eastAsiaTheme="minorEastAsia" w:hAnsiTheme="minorHAnsi"/>
                <w:color w:val="auto"/>
                <w:kern w:val="2"/>
                <w:szCs w:val="24"/>
                <w:lang w:eastAsia="en-AU"/>
                <w14:ligatures w14:val="standardContextual"/>
              </w:rPr>
              <w:tab/>
            </w:r>
            <w:r w:rsidRPr="00EE73FD">
              <w:rPr>
                <w:rStyle w:val="Hyperlink"/>
                <w:highlight w:val="white"/>
                <w:lang w:val="en-GB" w:eastAsia="zh-CN" w:bidi="th-TH"/>
              </w:rPr>
              <w:t>The role of cultural and community structures and institutions</w:t>
            </w:r>
            <w:r>
              <w:rPr>
                <w:webHidden/>
              </w:rPr>
              <w:tab/>
            </w:r>
            <w:r>
              <w:rPr>
                <w:webHidden/>
              </w:rPr>
              <w:fldChar w:fldCharType="begin"/>
            </w:r>
            <w:r>
              <w:rPr>
                <w:webHidden/>
              </w:rPr>
              <w:instrText xml:space="preserve"> PAGEREF _Toc218517314 \h </w:instrText>
            </w:r>
            <w:r>
              <w:rPr>
                <w:webHidden/>
              </w:rPr>
            </w:r>
            <w:r>
              <w:rPr>
                <w:webHidden/>
              </w:rPr>
              <w:fldChar w:fldCharType="separate"/>
            </w:r>
            <w:r w:rsidR="00912699">
              <w:rPr>
                <w:webHidden/>
              </w:rPr>
              <w:t>9</w:t>
            </w:r>
            <w:r>
              <w:rPr>
                <w:webHidden/>
              </w:rPr>
              <w:fldChar w:fldCharType="end"/>
            </w:r>
          </w:hyperlink>
        </w:p>
        <w:p w14:paraId="09921932" w14:textId="672FB2FE" w:rsidR="00B376A0" w:rsidRDefault="00B376A0">
          <w:pPr>
            <w:pStyle w:val="TOC3"/>
            <w:tabs>
              <w:tab w:val="clear" w:pos="9015"/>
              <w:tab w:val="left" w:pos="851"/>
              <w:tab w:val="right" w:leader="dot" w:pos="9016"/>
            </w:tabs>
            <w:rPr>
              <w:rFonts w:eastAsiaTheme="minorEastAsia"/>
              <w:kern w:val="2"/>
              <w:szCs w:val="24"/>
              <w:lang w:eastAsia="en-AU"/>
              <w14:ligatures w14:val="standardContextual"/>
            </w:rPr>
          </w:pPr>
          <w:hyperlink w:anchor="_Toc218517315" w:history="1">
            <w:r w:rsidRPr="00EE73FD">
              <w:rPr>
                <w:rStyle w:val="Hyperlink"/>
                <w:highlight w:val="white"/>
                <w:lang w:val="en-GB" w:eastAsia="zh-CN" w:bidi="th-TH"/>
              </w:rPr>
              <w:t>1.1</w:t>
            </w:r>
            <w:r>
              <w:rPr>
                <w:rFonts w:eastAsiaTheme="minorEastAsia"/>
                <w:kern w:val="2"/>
                <w:szCs w:val="24"/>
                <w:lang w:eastAsia="en-AU"/>
                <w14:ligatures w14:val="standardContextual"/>
              </w:rPr>
              <w:tab/>
            </w:r>
            <w:r w:rsidRPr="00EE73FD">
              <w:rPr>
                <w:rStyle w:val="Hyperlink"/>
                <w:highlight w:val="white"/>
                <w:lang w:val="en-GB" w:eastAsia="zh-CN" w:bidi="th-TH"/>
              </w:rPr>
              <w:t>The institutional state of play</w:t>
            </w:r>
            <w:r>
              <w:rPr>
                <w:webHidden/>
              </w:rPr>
              <w:tab/>
            </w:r>
            <w:r>
              <w:rPr>
                <w:webHidden/>
              </w:rPr>
              <w:fldChar w:fldCharType="begin"/>
            </w:r>
            <w:r>
              <w:rPr>
                <w:webHidden/>
              </w:rPr>
              <w:instrText xml:space="preserve"> PAGEREF _Toc218517315 \h </w:instrText>
            </w:r>
            <w:r>
              <w:rPr>
                <w:webHidden/>
              </w:rPr>
            </w:r>
            <w:r>
              <w:rPr>
                <w:webHidden/>
              </w:rPr>
              <w:fldChar w:fldCharType="separate"/>
            </w:r>
            <w:r w:rsidR="00912699">
              <w:rPr>
                <w:webHidden/>
              </w:rPr>
              <w:t>9</w:t>
            </w:r>
            <w:r>
              <w:rPr>
                <w:webHidden/>
              </w:rPr>
              <w:fldChar w:fldCharType="end"/>
            </w:r>
          </w:hyperlink>
        </w:p>
        <w:p w14:paraId="44DD3B8D" w14:textId="18E037E5" w:rsidR="00B376A0" w:rsidRDefault="00B376A0">
          <w:pPr>
            <w:pStyle w:val="TOC3"/>
            <w:tabs>
              <w:tab w:val="clear" w:pos="9015"/>
              <w:tab w:val="left" w:pos="851"/>
              <w:tab w:val="right" w:leader="dot" w:pos="9016"/>
            </w:tabs>
            <w:rPr>
              <w:rFonts w:eastAsiaTheme="minorEastAsia"/>
              <w:kern w:val="2"/>
              <w:szCs w:val="24"/>
              <w:lang w:eastAsia="en-AU"/>
              <w14:ligatures w14:val="standardContextual"/>
            </w:rPr>
          </w:pPr>
          <w:hyperlink w:anchor="_Toc218517316" w:history="1">
            <w:r w:rsidRPr="00EE73FD">
              <w:rPr>
                <w:rStyle w:val="Hyperlink"/>
                <w:highlight w:val="white"/>
                <w:lang w:val="en-GB" w:eastAsia="zh-CN" w:bidi="th-TH"/>
              </w:rPr>
              <w:t>1.2</w:t>
            </w:r>
            <w:r>
              <w:rPr>
                <w:rFonts w:eastAsiaTheme="minorEastAsia"/>
                <w:kern w:val="2"/>
                <w:szCs w:val="24"/>
                <w:lang w:eastAsia="en-AU"/>
                <w14:ligatures w14:val="standardContextual"/>
              </w:rPr>
              <w:tab/>
            </w:r>
            <w:r w:rsidRPr="00EE73FD">
              <w:rPr>
                <w:rStyle w:val="Hyperlink"/>
                <w:highlight w:val="white"/>
                <w:lang w:val="en-GB" w:eastAsia="zh-CN" w:bidi="th-TH"/>
              </w:rPr>
              <w:t>The plurality of Australian identities</w:t>
            </w:r>
            <w:r>
              <w:rPr>
                <w:webHidden/>
              </w:rPr>
              <w:tab/>
            </w:r>
            <w:r>
              <w:rPr>
                <w:webHidden/>
              </w:rPr>
              <w:fldChar w:fldCharType="begin"/>
            </w:r>
            <w:r>
              <w:rPr>
                <w:webHidden/>
              </w:rPr>
              <w:instrText xml:space="preserve"> PAGEREF _Toc218517316 \h </w:instrText>
            </w:r>
            <w:r>
              <w:rPr>
                <w:webHidden/>
              </w:rPr>
            </w:r>
            <w:r>
              <w:rPr>
                <w:webHidden/>
              </w:rPr>
              <w:fldChar w:fldCharType="separate"/>
            </w:r>
            <w:r w:rsidR="00912699">
              <w:rPr>
                <w:webHidden/>
              </w:rPr>
              <w:t>10</w:t>
            </w:r>
            <w:r>
              <w:rPr>
                <w:webHidden/>
              </w:rPr>
              <w:fldChar w:fldCharType="end"/>
            </w:r>
          </w:hyperlink>
        </w:p>
        <w:p w14:paraId="76426663" w14:textId="0EBB5D55" w:rsidR="00B376A0" w:rsidRDefault="00B376A0">
          <w:pPr>
            <w:pStyle w:val="TOC3"/>
            <w:tabs>
              <w:tab w:val="clear" w:pos="9015"/>
              <w:tab w:val="left" w:pos="851"/>
              <w:tab w:val="right" w:leader="dot" w:pos="9016"/>
            </w:tabs>
            <w:rPr>
              <w:rFonts w:eastAsiaTheme="minorEastAsia"/>
              <w:kern w:val="2"/>
              <w:szCs w:val="24"/>
              <w:lang w:eastAsia="en-AU"/>
              <w14:ligatures w14:val="standardContextual"/>
            </w:rPr>
          </w:pPr>
          <w:hyperlink w:anchor="_Toc218517317" w:history="1">
            <w:r w:rsidRPr="00EE73FD">
              <w:rPr>
                <w:rStyle w:val="Hyperlink"/>
                <w:highlight w:val="white"/>
                <w:lang w:val="en-GB" w:eastAsia="zh-CN" w:bidi="th-TH"/>
              </w:rPr>
              <w:t>1.3</w:t>
            </w:r>
            <w:r>
              <w:rPr>
                <w:rFonts w:eastAsiaTheme="minorEastAsia"/>
                <w:kern w:val="2"/>
                <w:szCs w:val="24"/>
                <w:lang w:eastAsia="en-AU"/>
                <w14:ligatures w14:val="standardContextual"/>
              </w:rPr>
              <w:tab/>
            </w:r>
            <w:r w:rsidRPr="00EE73FD">
              <w:rPr>
                <w:rStyle w:val="Hyperlink"/>
                <w:highlight w:val="white"/>
                <w:lang w:val="en-GB" w:eastAsia="zh-CN" w:bidi="th-TH"/>
              </w:rPr>
              <w:t>Trusted and valued institutions</w:t>
            </w:r>
            <w:r>
              <w:rPr>
                <w:webHidden/>
              </w:rPr>
              <w:tab/>
            </w:r>
            <w:r>
              <w:rPr>
                <w:webHidden/>
              </w:rPr>
              <w:fldChar w:fldCharType="begin"/>
            </w:r>
            <w:r>
              <w:rPr>
                <w:webHidden/>
              </w:rPr>
              <w:instrText xml:space="preserve"> PAGEREF _Toc218517317 \h </w:instrText>
            </w:r>
            <w:r>
              <w:rPr>
                <w:webHidden/>
              </w:rPr>
            </w:r>
            <w:r>
              <w:rPr>
                <w:webHidden/>
              </w:rPr>
              <w:fldChar w:fldCharType="separate"/>
            </w:r>
            <w:r w:rsidR="00912699">
              <w:rPr>
                <w:webHidden/>
              </w:rPr>
              <w:t>12</w:t>
            </w:r>
            <w:r>
              <w:rPr>
                <w:webHidden/>
              </w:rPr>
              <w:fldChar w:fldCharType="end"/>
            </w:r>
          </w:hyperlink>
        </w:p>
        <w:p w14:paraId="6C5EDFD2" w14:textId="02302490" w:rsidR="00B376A0" w:rsidRDefault="00B376A0">
          <w:pPr>
            <w:pStyle w:val="TOC3"/>
            <w:tabs>
              <w:tab w:val="clear" w:pos="9015"/>
              <w:tab w:val="left" w:pos="851"/>
              <w:tab w:val="right" w:leader="dot" w:pos="9016"/>
            </w:tabs>
            <w:rPr>
              <w:rFonts w:eastAsiaTheme="minorEastAsia"/>
              <w:kern w:val="2"/>
              <w:szCs w:val="24"/>
              <w:lang w:eastAsia="en-AU"/>
              <w14:ligatures w14:val="standardContextual"/>
            </w:rPr>
          </w:pPr>
          <w:hyperlink w:anchor="_Toc218517318" w:history="1">
            <w:r w:rsidRPr="00EE73FD">
              <w:rPr>
                <w:rStyle w:val="Hyperlink"/>
                <w:highlight w:val="white"/>
                <w:lang w:val="en-GB" w:eastAsia="zh-CN" w:bidi="th-TH"/>
              </w:rPr>
              <w:t>1.4</w:t>
            </w:r>
            <w:r>
              <w:rPr>
                <w:rFonts w:eastAsiaTheme="minorEastAsia"/>
                <w:kern w:val="2"/>
                <w:szCs w:val="24"/>
                <w:lang w:eastAsia="en-AU"/>
                <w14:ligatures w14:val="standardContextual"/>
              </w:rPr>
              <w:tab/>
            </w:r>
            <w:r w:rsidRPr="00EE73FD">
              <w:rPr>
                <w:rStyle w:val="Hyperlink"/>
                <w:highlight w:val="white"/>
                <w:lang w:val="en-GB" w:eastAsia="zh-CN" w:bidi="th-TH"/>
              </w:rPr>
              <w:t>Enabling and encouraging civic engagement and social connection</w:t>
            </w:r>
            <w:r>
              <w:rPr>
                <w:webHidden/>
              </w:rPr>
              <w:tab/>
            </w:r>
            <w:r>
              <w:rPr>
                <w:webHidden/>
              </w:rPr>
              <w:fldChar w:fldCharType="begin"/>
            </w:r>
            <w:r>
              <w:rPr>
                <w:webHidden/>
              </w:rPr>
              <w:instrText xml:space="preserve"> PAGEREF _Toc218517318 \h </w:instrText>
            </w:r>
            <w:r>
              <w:rPr>
                <w:webHidden/>
              </w:rPr>
            </w:r>
            <w:r>
              <w:rPr>
                <w:webHidden/>
              </w:rPr>
              <w:fldChar w:fldCharType="separate"/>
            </w:r>
            <w:r w:rsidR="00912699">
              <w:rPr>
                <w:webHidden/>
              </w:rPr>
              <w:t>13</w:t>
            </w:r>
            <w:r>
              <w:rPr>
                <w:webHidden/>
              </w:rPr>
              <w:fldChar w:fldCharType="end"/>
            </w:r>
          </w:hyperlink>
        </w:p>
        <w:p w14:paraId="0EBD5EDF" w14:textId="29C2FA7E" w:rsidR="00B376A0" w:rsidRDefault="00B376A0">
          <w:pPr>
            <w:pStyle w:val="TOC2"/>
            <w:rPr>
              <w:rFonts w:asciiTheme="minorHAnsi" w:eastAsiaTheme="minorEastAsia" w:hAnsiTheme="minorHAnsi"/>
              <w:color w:val="auto"/>
              <w:kern w:val="2"/>
              <w:szCs w:val="24"/>
              <w:lang w:eastAsia="en-AU"/>
              <w14:ligatures w14:val="standardContextual"/>
            </w:rPr>
          </w:pPr>
          <w:hyperlink w:anchor="_Toc218517319" w:history="1">
            <w:r w:rsidRPr="00EE73FD">
              <w:rPr>
                <w:rStyle w:val="Hyperlink"/>
                <w:lang w:val="en-GB" w:eastAsia="zh-CN" w:bidi="th-TH"/>
              </w:rPr>
              <w:t>2</w:t>
            </w:r>
            <w:r>
              <w:rPr>
                <w:rFonts w:asciiTheme="minorHAnsi" w:eastAsiaTheme="minorEastAsia" w:hAnsiTheme="minorHAnsi"/>
                <w:color w:val="auto"/>
                <w:kern w:val="2"/>
                <w:szCs w:val="24"/>
                <w:lang w:eastAsia="en-AU"/>
                <w14:ligatures w14:val="standardContextual"/>
              </w:rPr>
              <w:tab/>
            </w:r>
            <w:r w:rsidRPr="00EE73FD">
              <w:rPr>
                <w:rStyle w:val="Hyperlink"/>
                <w:lang w:val="en-GB" w:eastAsia="zh-CN" w:bidi="th-TH"/>
              </w:rPr>
              <w:t>How cultural and community structures and institutions build information resilience</w:t>
            </w:r>
            <w:r>
              <w:rPr>
                <w:webHidden/>
              </w:rPr>
              <w:tab/>
            </w:r>
            <w:r>
              <w:rPr>
                <w:webHidden/>
              </w:rPr>
              <w:fldChar w:fldCharType="begin"/>
            </w:r>
            <w:r>
              <w:rPr>
                <w:webHidden/>
              </w:rPr>
              <w:instrText xml:space="preserve"> PAGEREF _Toc218517319 \h </w:instrText>
            </w:r>
            <w:r>
              <w:rPr>
                <w:webHidden/>
              </w:rPr>
            </w:r>
            <w:r>
              <w:rPr>
                <w:webHidden/>
              </w:rPr>
              <w:fldChar w:fldCharType="separate"/>
            </w:r>
            <w:r w:rsidR="00912699">
              <w:rPr>
                <w:webHidden/>
              </w:rPr>
              <w:t>15</w:t>
            </w:r>
            <w:r>
              <w:rPr>
                <w:webHidden/>
              </w:rPr>
              <w:fldChar w:fldCharType="end"/>
            </w:r>
          </w:hyperlink>
        </w:p>
        <w:p w14:paraId="11ED53ED" w14:textId="6B8E72D4" w:rsidR="00B376A0" w:rsidRDefault="00B376A0">
          <w:pPr>
            <w:pStyle w:val="TOC3"/>
            <w:tabs>
              <w:tab w:val="clear" w:pos="9015"/>
              <w:tab w:val="left" w:pos="851"/>
              <w:tab w:val="right" w:leader="dot" w:pos="9016"/>
            </w:tabs>
            <w:rPr>
              <w:rFonts w:eastAsiaTheme="minorEastAsia"/>
              <w:kern w:val="2"/>
              <w:szCs w:val="24"/>
              <w:lang w:eastAsia="en-AU"/>
              <w14:ligatures w14:val="standardContextual"/>
            </w:rPr>
          </w:pPr>
          <w:hyperlink w:anchor="_Toc218517320" w:history="1">
            <w:r w:rsidRPr="00EE73FD">
              <w:rPr>
                <w:rStyle w:val="Hyperlink"/>
                <w:highlight w:val="white"/>
                <w:lang w:val="en-GB" w:eastAsia="zh-CN" w:bidi="th-TH"/>
              </w:rPr>
              <w:t>2.1</w:t>
            </w:r>
            <w:r>
              <w:rPr>
                <w:rFonts w:eastAsiaTheme="minorEastAsia"/>
                <w:kern w:val="2"/>
                <w:szCs w:val="24"/>
                <w:lang w:eastAsia="en-AU"/>
                <w14:ligatures w14:val="standardContextual"/>
              </w:rPr>
              <w:tab/>
            </w:r>
            <w:r w:rsidRPr="00EE73FD">
              <w:rPr>
                <w:rStyle w:val="Hyperlink"/>
                <w:highlight w:val="white"/>
                <w:lang w:val="en-GB" w:eastAsia="zh-CN" w:bidi="th-TH"/>
              </w:rPr>
              <w:t>Participatory practices and the wellbeing of the public sphere</w:t>
            </w:r>
            <w:r>
              <w:rPr>
                <w:webHidden/>
              </w:rPr>
              <w:tab/>
            </w:r>
            <w:r>
              <w:rPr>
                <w:webHidden/>
              </w:rPr>
              <w:fldChar w:fldCharType="begin"/>
            </w:r>
            <w:r>
              <w:rPr>
                <w:webHidden/>
              </w:rPr>
              <w:instrText xml:space="preserve"> PAGEREF _Toc218517320 \h </w:instrText>
            </w:r>
            <w:r>
              <w:rPr>
                <w:webHidden/>
              </w:rPr>
            </w:r>
            <w:r>
              <w:rPr>
                <w:webHidden/>
              </w:rPr>
              <w:fldChar w:fldCharType="separate"/>
            </w:r>
            <w:r w:rsidR="00912699">
              <w:rPr>
                <w:webHidden/>
              </w:rPr>
              <w:t>15</w:t>
            </w:r>
            <w:r>
              <w:rPr>
                <w:webHidden/>
              </w:rPr>
              <w:fldChar w:fldCharType="end"/>
            </w:r>
          </w:hyperlink>
        </w:p>
        <w:p w14:paraId="58B96671" w14:textId="48D4FD78" w:rsidR="00B376A0" w:rsidRDefault="00B376A0">
          <w:pPr>
            <w:pStyle w:val="TOC3"/>
            <w:tabs>
              <w:tab w:val="clear" w:pos="9015"/>
              <w:tab w:val="left" w:pos="851"/>
              <w:tab w:val="right" w:leader="dot" w:pos="9016"/>
            </w:tabs>
            <w:rPr>
              <w:rFonts w:eastAsiaTheme="minorEastAsia"/>
              <w:kern w:val="2"/>
              <w:szCs w:val="24"/>
              <w:lang w:eastAsia="en-AU"/>
              <w14:ligatures w14:val="standardContextual"/>
            </w:rPr>
          </w:pPr>
          <w:hyperlink w:anchor="_Toc218517321" w:history="1">
            <w:r w:rsidRPr="00EE73FD">
              <w:rPr>
                <w:rStyle w:val="Hyperlink"/>
                <w:highlight w:val="white"/>
                <w:lang w:val="en-GB" w:eastAsia="zh-CN" w:bidi="th-TH"/>
              </w:rPr>
              <w:t>2.2</w:t>
            </w:r>
            <w:r>
              <w:rPr>
                <w:rFonts w:eastAsiaTheme="minorEastAsia"/>
                <w:kern w:val="2"/>
                <w:szCs w:val="24"/>
                <w:lang w:eastAsia="en-AU"/>
                <w14:ligatures w14:val="standardContextual"/>
              </w:rPr>
              <w:tab/>
            </w:r>
            <w:r w:rsidRPr="00EE73FD">
              <w:rPr>
                <w:rStyle w:val="Hyperlink"/>
                <w:highlight w:val="white"/>
                <w:lang w:val="en-GB" w:eastAsia="zh-CN" w:bidi="th-TH"/>
              </w:rPr>
              <w:t>Leveraging trust and social capital to deliver mis- and disinformation interventions</w:t>
            </w:r>
            <w:r>
              <w:rPr>
                <w:webHidden/>
              </w:rPr>
              <w:tab/>
            </w:r>
            <w:r>
              <w:rPr>
                <w:webHidden/>
              </w:rPr>
              <w:fldChar w:fldCharType="begin"/>
            </w:r>
            <w:r>
              <w:rPr>
                <w:webHidden/>
              </w:rPr>
              <w:instrText xml:space="preserve"> PAGEREF _Toc218517321 \h </w:instrText>
            </w:r>
            <w:r>
              <w:rPr>
                <w:webHidden/>
              </w:rPr>
            </w:r>
            <w:r>
              <w:rPr>
                <w:webHidden/>
              </w:rPr>
              <w:fldChar w:fldCharType="separate"/>
            </w:r>
            <w:r w:rsidR="00912699">
              <w:rPr>
                <w:webHidden/>
              </w:rPr>
              <w:t>17</w:t>
            </w:r>
            <w:r>
              <w:rPr>
                <w:webHidden/>
              </w:rPr>
              <w:fldChar w:fldCharType="end"/>
            </w:r>
          </w:hyperlink>
        </w:p>
        <w:p w14:paraId="5B9BD17E" w14:textId="3B318BA4" w:rsidR="00B376A0" w:rsidRDefault="00B376A0">
          <w:pPr>
            <w:pStyle w:val="TOC3"/>
            <w:tabs>
              <w:tab w:val="clear" w:pos="9015"/>
              <w:tab w:val="left" w:pos="851"/>
              <w:tab w:val="right" w:leader="dot" w:pos="9016"/>
            </w:tabs>
            <w:rPr>
              <w:rFonts w:eastAsiaTheme="minorEastAsia"/>
              <w:kern w:val="2"/>
              <w:szCs w:val="24"/>
              <w:lang w:eastAsia="en-AU"/>
              <w14:ligatures w14:val="standardContextual"/>
            </w:rPr>
          </w:pPr>
          <w:hyperlink w:anchor="_Toc218517322" w:history="1">
            <w:r w:rsidRPr="00EE73FD">
              <w:rPr>
                <w:rStyle w:val="Hyperlink"/>
                <w:highlight w:val="white"/>
                <w:lang w:val="en-GB" w:eastAsia="zh-CN" w:bidi="th-TH"/>
              </w:rPr>
              <w:t>2.3</w:t>
            </w:r>
            <w:r>
              <w:rPr>
                <w:rFonts w:eastAsiaTheme="minorEastAsia"/>
                <w:kern w:val="2"/>
                <w:szCs w:val="24"/>
                <w:lang w:eastAsia="en-AU"/>
                <w14:ligatures w14:val="standardContextual"/>
              </w:rPr>
              <w:tab/>
            </w:r>
            <w:r w:rsidRPr="00EE73FD">
              <w:rPr>
                <w:rStyle w:val="Hyperlink"/>
                <w:highlight w:val="white"/>
                <w:lang w:val="en-GB" w:eastAsia="zh-CN" w:bidi="th-TH"/>
              </w:rPr>
              <w:t>Supporting community wellbeing and resilience in times of crises</w:t>
            </w:r>
            <w:r>
              <w:rPr>
                <w:webHidden/>
              </w:rPr>
              <w:tab/>
            </w:r>
            <w:r>
              <w:rPr>
                <w:webHidden/>
              </w:rPr>
              <w:fldChar w:fldCharType="begin"/>
            </w:r>
            <w:r>
              <w:rPr>
                <w:webHidden/>
              </w:rPr>
              <w:instrText xml:space="preserve"> PAGEREF _Toc218517322 \h </w:instrText>
            </w:r>
            <w:r>
              <w:rPr>
                <w:webHidden/>
              </w:rPr>
            </w:r>
            <w:r>
              <w:rPr>
                <w:webHidden/>
              </w:rPr>
              <w:fldChar w:fldCharType="separate"/>
            </w:r>
            <w:r w:rsidR="00912699">
              <w:rPr>
                <w:webHidden/>
              </w:rPr>
              <w:t>19</w:t>
            </w:r>
            <w:r>
              <w:rPr>
                <w:webHidden/>
              </w:rPr>
              <w:fldChar w:fldCharType="end"/>
            </w:r>
          </w:hyperlink>
        </w:p>
        <w:p w14:paraId="03C0C3D1" w14:textId="48C77246" w:rsidR="00B376A0" w:rsidRDefault="00B376A0">
          <w:pPr>
            <w:pStyle w:val="TOC2"/>
            <w:rPr>
              <w:rFonts w:asciiTheme="minorHAnsi" w:eastAsiaTheme="minorEastAsia" w:hAnsiTheme="minorHAnsi"/>
              <w:color w:val="auto"/>
              <w:kern w:val="2"/>
              <w:szCs w:val="24"/>
              <w:lang w:eastAsia="en-AU"/>
              <w14:ligatures w14:val="standardContextual"/>
            </w:rPr>
          </w:pPr>
          <w:hyperlink w:anchor="_Toc218517323" w:history="1">
            <w:r w:rsidRPr="00EE73FD">
              <w:rPr>
                <w:rStyle w:val="Hyperlink"/>
              </w:rPr>
              <w:t>References</w:t>
            </w:r>
            <w:r>
              <w:rPr>
                <w:webHidden/>
              </w:rPr>
              <w:tab/>
            </w:r>
            <w:r>
              <w:rPr>
                <w:webHidden/>
              </w:rPr>
              <w:fldChar w:fldCharType="begin"/>
            </w:r>
            <w:r>
              <w:rPr>
                <w:webHidden/>
              </w:rPr>
              <w:instrText xml:space="preserve"> PAGEREF _Toc218517323 \h </w:instrText>
            </w:r>
            <w:r>
              <w:rPr>
                <w:webHidden/>
              </w:rPr>
            </w:r>
            <w:r>
              <w:rPr>
                <w:webHidden/>
              </w:rPr>
              <w:fldChar w:fldCharType="separate"/>
            </w:r>
            <w:r w:rsidR="00912699">
              <w:rPr>
                <w:webHidden/>
              </w:rPr>
              <w:t>22</w:t>
            </w:r>
            <w:r>
              <w:rPr>
                <w:webHidden/>
              </w:rPr>
              <w:fldChar w:fldCharType="end"/>
            </w:r>
          </w:hyperlink>
        </w:p>
        <w:p w14:paraId="1524D1C4" w14:textId="5DCDA840" w:rsidR="00B376A0" w:rsidRDefault="00B376A0">
          <w:pPr>
            <w:pStyle w:val="TOC2"/>
            <w:rPr>
              <w:rFonts w:asciiTheme="minorHAnsi" w:eastAsiaTheme="minorEastAsia" w:hAnsiTheme="minorHAnsi"/>
              <w:color w:val="auto"/>
              <w:kern w:val="2"/>
              <w:szCs w:val="24"/>
              <w:lang w:eastAsia="en-AU"/>
              <w14:ligatures w14:val="standardContextual"/>
            </w:rPr>
          </w:pPr>
          <w:hyperlink w:anchor="_Toc218517324" w:history="1">
            <w:r w:rsidRPr="00EE73FD">
              <w:rPr>
                <w:rStyle w:val="Hyperlink"/>
                <w:highlight w:val="white"/>
              </w:rPr>
              <w:t>Appendix A: Acknowledgements</w:t>
            </w:r>
            <w:r>
              <w:rPr>
                <w:webHidden/>
              </w:rPr>
              <w:tab/>
            </w:r>
            <w:r>
              <w:rPr>
                <w:webHidden/>
              </w:rPr>
              <w:fldChar w:fldCharType="begin"/>
            </w:r>
            <w:r>
              <w:rPr>
                <w:webHidden/>
              </w:rPr>
              <w:instrText xml:space="preserve"> PAGEREF _Toc218517324 \h </w:instrText>
            </w:r>
            <w:r>
              <w:rPr>
                <w:webHidden/>
              </w:rPr>
            </w:r>
            <w:r>
              <w:rPr>
                <w:webHidden/>
              </w:rPr>
              <w:fldChar w:fldCharType="separate"/>
            </w:r>
            <w:r w:rsidR="00912699">
              <w:rPr>
                <w:webHidden/>
              </w:rPr>
              <w:t>33</w:t>
            </w:r>
            <w:r>
              <w:rPr>
                <w:webHidden/>
              </w:rPr>
              <w:fldChar w:fldCharType="end"/>
            </w:r>
          </w:hyperlink>
        </w:p>
        <w:p w14:paraId="66227B35" w14:textId="34A684D2" w:rsidR="00A61C18" w:rsidRDefault="00A61C18">
          <w:r>
            <w:rPr>
              <w:b/>
              <w:bCs/>
              <w:noProof/>
            </w:rPr>
            <w:fldChar w:fldCharType="end"/>
          </w:r>
        </w:p>
      </w:sdtContent>
    </w:sdt>
    <w:p w14:paraId="51EF5F2D" w14:textId="77777777" w:rsidR="00A61C18" w:rsidRPr="00EA02B1" w:rsidRDefault="00A61C18" w:rsidP="00812E58">
      <w:pPr>
        <w:rPr>
          <w:highlight w:val="white"/>
        </w:rPr>
      </w:pPr>
      <w:r>
        <w:rPr>
          <w:highlight w:val="white"/>
          <w:lang w:val="en-GB" w:eastAsia="zh-CN" w:bidi="th-TH"/>
        </w:rPr>
        <w:br w:type="page"/>
      </w:r>
    </w:p>
    <w:p w14:paraId="231617B4" w14:textId="27A722D0" w:rsidR="00CE6B92" w:rsidRPr="00CE6B92" w:rsidRDefault="00CE6B92" w:rsidP="00CE6B92">
      <w:pPr>
        <w:pStyle w:val="Heading2"/>
        <w:rPr>
          <w:highlight w:val="white"/>
          <w:lang w:val="en-GB" w:eastAsia="zh-CN" w:bidi="th-TH"/>
        </w:rPr>
      </w:pPr>
      <w:bookmarkStart w:id="23" w:name="_Toc218517310"/>
      <w:r w:rsidRPr="00CE6B92">
        <w:rPr>
          <w:highlight w:val="white"/>
          <w:lang w:val="en-GB" w:eastAsia="zh-CN" w:bidi="th-TH"/>
        </w:rPr>
        <w:lastRenderedPageBreak/>
        <w:t>Executive summary</w:t>
      </w:r>
      <w:bookmarkEnd w:id="23"/>
    </w:p>
    <w:p w14:paraId="21981B46" w14:textId="1DFD2C77" w:rsidR="00CE6B92" w:rsidRPr="00CE6B92" w:rsidRDefault="00CE6B92" w:rsidP="00590BA3">
      <w:pPr>
        <w:rPr>
          <w:highlight w:val="white"/>
          <w:lang w:val="en-GB" w:eastAsia="zh-CN" w:bidi="th-TH"/>
        </w:rPr>
      </w:pPr>
      <w:r w:rsidRPr="1088E27D">
        <w:rPr>
          <w:highlight w:val="white"/>
          <w:lang w:val="en-GB" w:eastAsia="zh-CN" w:bidi="th-TH"/>
        </w:rPr>
        <w:t>This report summarises research on the role of cultural and community institutions and structures in building shared identities and realities, and how this can support resilience to</w:t>
      </w:r>
      <w:r w:rsidR="00EA5229">
        <w:rPr>
          <w:highlight w:val="white"/>
          <w:lang w:val="en-GB" w:eastAsia="zh-CN" w:bidi="th-TH"/>
        </w:rPr>
        <w:t xml:space="preserve"> mis- </w:t>
      </w:r>
      <w:r w:rsidR="7C633C7E" w:rsidRPr="1088E27D">
        <w:rPr>
          <w:highlight w:val="white"/>
          <w:lang w:val="en-GB" w:eastAsia="zh-CN" w:bidi="th-TH"/>
        </w:rPr>
        <w:t xml:space="preserve">and </w:t>
      </w:r>
      <w:r w:rsidRPr="1088E27D">
        <w:rPr>
          <w:highlight w:val="white"/>
          <w:lang w:val="en-GB" w:eastAsia="zh-CN" w:bidi="th-TH"/>
        </w:rPr>
        <w:t xml:space="preserve">disinformation. The weight of the evidence is on formal cultural institutions and, as such, this report primarily focuses on the galleries, libraries, archives and museums (GLAM) sector. Where available, this is complemented with evidence relating to more informal cultural and community institutions and participation in public life more broadly. </w:t>
      </w:r>
    </w:p>
    <w:p w14:paraId="15CB39EF" w14:textId="088D7C4A" w:rsidR="005E0DEF" w:rsidRDefault="00CE6B92" w:rsidP="00590BA3">
      <w:pPr>
        <w:rPr>
          <w:lang w:val="en-GB" w:eastAsia="zh-CN" w:bidi="th-TH"/>
        </w:rPr>
      </w:pPr>
      <w:r w:rsidRPr="3F06A049">
        <w:rPr>
          <w:highlight w:val="white"/>
          <w:lang w:val="en-GB" w:eastAsia="zh-CN" w:bidi="th-TH"/>
        </w:rPr>
        <w:t xml:space="preserve">This report identifies and explores </w:t>
      </w:r>
      <w:r w:rsidR="00EA02B1">
        <w:rPr>
          <w:highlight w:val="white"/>
          <w:lang w:val="en-GB" w:eastAsia="zh-CN" w:bidi="th-TH"/>
        </w:rPr>
        <w:t>2</w:t>
      </w:r>
      <w:r w:rsidR="00EA02B1" w:rsidRPr="3F06A049">
        <w:rPr>
          <w:highlight w:val="white"/>
          <w:lang w:val="en-GB" w:eastAsia="zh-CN" w:bidi="th-TH"/>
        </w:rPr>
        <w:t xml:space="preserve"> </w:t>
      </w:r>
      <w:r w:rsidRPr="3F06A049">
        <w:rPr>
          <w:highlight w:val="white"/>
          <w:lang w:val="en-GB" w:eastAsia="zh-CN" w:bidi="th-TH"/>
        </w:rPr>
        <w:t>domains where cultural and community institutions can support information resilience:</w:t>
      </w:r>
    </w:p>
    <w:p w14:paraId="39E0C1DC" w14:textId="4E2B0552" w:rsidR="00CE6B92" w:rsidRPr="00EA02B1" w:rsidRDefault="00CE6B92" w:rsidP="00EA02B1">
      <w:pPr>
        <w:numPr>
          <w:ilvl w:val="0"/>
          <w:numId w:val="25"/>
        </w:numPr>
        <w:ind w:left="567" w:hanging="567"/>
        <w:rPr>
          <w:rStyle w:val="Strong"/>
          <w:highlight w:val="white"/>
        </w:rPr>
      </w:pPr>
      <w:r w:rsidRPr="00EA02B1">
        <w:rPr>
          <w:rStyle w:val="Strong"/>
          <w:highlight w:val="white"/>
        </w:rPr>
        <w:t>As highly trusted institutions with the social capital, reach and expertise to educate the community and provide credible information.</w:t>
      </w:r>
    </w:p>
    <w:p w14:paraId="3FBC592C" w14:textId="0B5AEDB7" w:rsidR="00CE6B92" w:rsidRPr="00CE6B92" w:rsidRDefault="00CE6B92" w:rsidP="00590BA3">
      <w:pPr>
        <w:rPr>
          <w:highlight w:val="white"/>
          <w:lang w:val="en-GB" w:eastAsia="zh-CN" w:bidi="th-TH"/>
        </w:rPr>
      </w:pPr>
      <w:r w:rsidRPr="4C85C7AD">
        <w:rPr>
          <w:lang w:val="en-GB" w:eastAsia="zh-CN" w:bidi="th-TH"/>
        </w:rPr>
        <w:t>Cultural and community institutions – broadly encompassing GLAMs</w:t>
      </w:r>
      <w:r w:rsidRPr="4C85C7AD">
        <w:rPr>
          <w:highlight w:val="white"/>
          <w:lang w:val="en-GB" w:eastAsia="zh-CN" w:bidi="th-TH"/>
        </w:rPr>
        <w:t>, political and civil society organisations, recreation and special interest groups, and democratic, educational and religious institutions – are key sites of civic engagement</w:t>
      </w:r>
      <w:r w:rsidRPr="4C85C7AD">
        <w:rPr>
          <w:lang w:val="en-GB" w:eastAsia="zh-CN" w:bidi="th-TH"/>
        </w:rPr>
        <w:t xml:space="preserve"> that collect, host, produce and share vast amounts of information </w:t>
      </w:r>
      <w:r w:rsidRPr="4C85C7AD">
        <w:rPr>
          <w:highlight w:val="white"/>
          <w:lang w:val="en-GB" w:eastAsia="zh-CN" w:bidi="th-TH"/>
        </w:rPr>
        <w:t>for public audiences. They are, to varying degrees, invested in information resilience.</w:t>
      </w:r>
      <w:r w:rsidRPr="4C85C7AD">
        <w:rPr>
          <w:lang w:val="en-GB" w:eastAsia="zh-CN" w:bidi="th-TH"/>
        </w:rPr>
        <w:t xml:space="preserve"> </w:t>
      </w:r>
    </w:p>
    <w:p w14:paraId="7E79F773" w14:textId="69035ACA" w:rsidR="00CE6B92" w:rsidRPr="00CE6B92" w:rsidRDefault="00CE6B92" w:rsidP="00590BA3">
      <w:pPr>
        <w:rPr>
          <w:highlight w:val="white"/>
          <w:lang w:val="en-GB" w:eastAsia="zh-CN" w:bidi="th-TH"/>
        </w:rPr>
      </w:pPr>
      <w:r w:rsidRPr="4C85C7AD">
        <w:rPr>
          <w:lang w:val="en-GB" w:eastAsia="zh-CN" w:bidi="th-TH"/>
        </w:rPr>
        <w:t>As independent and accessible public spaces where class, ideology and cultural background are generally irrelevant, they embrace the plurality of Australian identities</w:t>
      </w:r>
      <w:r w:rsidR="7CF7EB23" w:rsidRPr="4C85C7AD">
        <w:rPr>
          <w:lang w:val="en-GB" w:eastAsia="zh-CN" w:bidi="th-TH"/>
        </w:rPr>
        <w:t>,</w:t>
      </w:r>
      <w:r w:rsidRPr="4C85C7AD">
        <w:rPr>
          <w:lang w:val="en-GB" w:eastAsia="zh-CN" w:bidi="th-TH"/>
        </w:rPr>
        <w:t xml:space="preserve"> encompassing stories, histories and cultures of Aboriginal and </w:t>
      </w:r>
      <w:r w:rsidR="00057DF3">
        <w:rPr>
          <w:lang w:val="en-GB" w:eastAsia="zh-CN" w:bidi="th-TH"/>
        </w:rPr>
        <w:t>Torres Strait</w:t>
      </w:r>
      <w:r w:rsidRPr="4C85C7AD">
        <w:rPr>
          <w:lang w:val="en-GB" w:eastAsia="zh-CN" w:bidi="th-TH"/>
        </w:rPr>
        <w:t xml:space="preserve"> Islanders, the British traditions that underpin our democratic and legal systems, and the varied cultures, faiths and traditions of our modern multicultural society. They also enjoy a high level of trust by members of the public and as such can </w:t>
      </w:r>
      <w:r w:rsidRPr="4C85C7AD">
        <w:rPr>
          <w:highlight w:val="white"/>
          <w:lang w:val="en-GB" w:eastAsia="zh-CN" w:bidi="th-TH"/>
        </w:rPr>
        <w:t>facilitate and promote social and civic engagement.</w:t>
      </w:r>
    </w:p>
    <w:p w14:paraId="1EF6F5F5" w14:textId="48EC0BD2" w:rsidR="00CE6B92" w:rsidRPr="00CE6B92" w:rsidRDefault="00CE6B92" w:rsidP="001B7F4E">
      <w:pPr>
        <w:rPr>
          <w:lang w:val="en-GB" w:eastAsia="zh-CN" w:bidi="th-TH"/>
        </w:rPr>
      </w:pPr>
      <w:r w:rsidRPr="158D4E79">
        <w:rPr>
          <w:lang w:val="en-GB" w:eastAsia="zh-CN" w:bidi="th-TH"/>
        </w:rPr>
        <w:t xml:space="preserve">Cultural and community institutions are generally aware of their standing in society, and many take active steps to deliver </w:t>
      </w:r>
      <w:r w:rsidRPr="158D4E79">
        <w:rPr>
          <w:highlight w:val="white"/>
          <w:lang w:val="en-GB" w:eastAsia="zh-CN" w:bidi="th-TH"/>
        </w:rPr>
        <w:t>coordinated information and media literacy interventions to combat</w:t>
      </w:r>
      <w:r w:rsidR="00EA5229">
        <w:rPr>
          <w:highlight w:val="white"/>
          <w:lang w:val="en-GB" w:eastAsia="zh-CN" w:bidi="th-TH"/>
        </w:rPr>
        <w:t xml:space="preserve"> mis- </w:t>
      </w:r>
      <w:r w:rsidR="2C63B676" w:rsidRPr="158D4E79">
        <w:rPr>
          <w:highlight w:val="white"/>
          <w:lang w:val="en-GB" w:eastAsia="zh-CN" w:bidi="th-TH"/>
        </w:rPr>
        <w:t xml:space="preserve">and </w:t>
      </w:r>
      <w:r w:rsidRPr="158D4E79">
        <w:rPr>
          <w:highlight w:val="white"/>
          <w:lang w:val="en-GB" w:eastAsia="zh-CN" w:bidi="th-TH"/>
        </w:rPr>
        <w:t>disinformation.</w:t>
      </w:r>
      <w:r w:rsidRPr="158D4E79">
        <w:rPr>
          <w:lang w:val="en-GB" w:eastAsia="zh-CN" w:bidi="th-TH"/>
        </w:rPr>
        <w:t xml:space="preserve"> </w:t>
      </w:r>
      <w:r w:rsidRPr="158D4E79">
        <w:rPr>
          <w:highlight w:val="white"/>
          <w:lang w:val="en-GB" w:eastAsia="zh-CN" w:bidi="th-TH"/>
        </w:rPr>
        <w:t>These institutions are particularly well</w:t>
      </w:r>
      <w:r w:rsidR="001404FB">
        <w:rPr>
          <w:highlight w:val="white"/>
          <w:lang w:val="en-GB" w:eastAsia="zh-CN" w:bidi="th-TH"/>
        </w:rPr>
        <w:noBreakHyphen/>
      </w:r>
      <w:r w:rsidRPr="158D4E79">
        <w:rPr>
          <w:highlight w:val="white"/>
          <w:lang w:val="en-GB" w:eastAsia="zh-CN" w:bidi="th-TH"/>
        </w:rPr>
        <w:t>placed to facilitate information sharing and reach groups who are traditionally disengaged or mistrustful.</w:t>
      </w:r>
    </w:p>
    <w:p w14:paraId="133BF673" w14:textId="7328B80C" w:rsidR="00CE6B92" w:rsidRPr="00EA02B1" w:rsidRDefault="00CE6B92" w:rsidP="00EA02B1">
      <w:pPr>
        <w:numPr>
          <w:ilvl w:val="0"/>
          <w:numId w:val="25"/>
        </w:numPr>
        <w:ind w:left="567" w:hanging="567"/>
        <w:rPr>
          <w:rStyle w:val="Strong"/>
          <w:highlight w:val="white"/>
        </w:rPr>
      </w:pPr>
      <w:r w:rsidRPr="00EA02B1">
        <w:rPr>
          <w:rStyle w:val="Strong"/>
          <w:highlight w:val="white"/>
        </w:rPr>
        <w:t>As critical social infrastructure and the sites of civic engagement</w:t>
      </w:r>
      <w:r w:rsidR="1054FCA2" w:rsidRPr="00EA02B1">
        <w:rPr>
          <w:rStyle w:val="Strong"/>
          <w:highlight w:val="white"/>
        </w:rPr>
        <w:t>,</w:t>
      </w:r>
      <w:r w:rsidRPr="00EA02B1">
        <w:rPr>
          <w:rStyle w:val="Strong"/>
          <w:highlight w:val="white"/>
        </w:rPr>
        <w:t xml:space="preserve"> which support the conditions for cohesive, resilient communities.</w:t>
      </w:r>
    </w:p>
    <w:p w14:paraId="7E6A54AB" w14:textId="472D4348" w:rsidR="00CE6B92" w:rsidRPr="00CE6B92" w:rsidRDefault="00CE6B92" w:rsidP="001B7F4E">
      <w:pPr>
        <w:rPr>
          <w:lang w:val="en-GB" w:eastAsia="zh-CN" w:bidi="th-TH"/>
        </w:rPr>
      </w:pPr>
      <w:r w:rsidRPr="00CE6B92">
        <w:rPr>
          <w:lang w:val="en-GB" w:eastAsia="zh-CN" w:bidi="th-TH"/>
        </w:rPr>
        <w:t>Research shows that participation in civic life helps building resilient, cohesive societies that are resilient to</w:t>
      </w:r>
      <w:r w:rsidR="00EA5229">
        <w:rPr>
          <w:lang w:val="en-GB" w:eastAsia="zh-CN" w:bidi="th-TH"/>
        </w:rPr>
        <w:t xml:space="preserve"> mis- </w:t>
      </w:r>
      <w:r w:rsidR="001B7F4E">
        <w:rPr>
          <w:lang w:val="en-GB" w:eastAsia="zh-CN" w:bidi="th-TH"/>
        </w:rPr>
        <w:t>and disinformation</w:t>
      </w:r>
      <w:r w:rsidRPr="00CE6B92">
        <w:rPr>
          <w:lang w:val="en-GB" w:eastAsia="zh-CN" w:bidi="th-TH"/>
        </w:rPr>
        <w:t>. Given their trusted status and positioning in all parts of metropolitan, regional and rural society, cultural and community institutions act as social infrastructure and can facilitate dialogue and provide locally situated interventions.</w:t>
      </w:r>
    </w:p>
    <w:p w14:paraId="503F1B7B" w14:textId="77777777" w:rsidR="00CE6B92" w:rsidRPr="008702A4" w:rsidRDefault="00CE6B92" w:rsidP="001B7F4E">
      <w:pPr>
        <w:rPr>
          <w:spacing w:val="-2"/>
          <w:lang w:val="en-GB" w:eastAsia="zh-CN" w:bidi="th-TH"/>
        </w:rPr>
      </w:pPr>
      <w:r w:rsidRPr="008702A4">
        <w:rPr>
          <w:spacing w:val="-2"/>
          <w:lang w:val="en-GB" w:eastAsia="zh-CN" w:bidi="th-TH"/>
        </w:rPr>
        <w:t xml:space="preserve">Cultural and community institutions are important </w:t>
      </w:r>
      <w:r w:rsidRPr="008702A4">
        <w:rPr>
          <w:spacing w:val="-2"/>
          <w:highlight w:val="white"/>
          <w:lang w:val="en-GB" w:eastAsia="zh-CN" w:bidi="th-TH"/>
        </w:rPr>
        <w:t>sites of learning about critical thinking and civic values and</w:t>
      </w:r>
      <w:r w:rsidRPr="008702A4">
        <w:rPr>
          <w:spacing w:val="-2"/>
          <w:lang w:val="en-GB" w:eastAsia="zh-CN" w:bidi="th-TH"/>
        </w:rPr>
        <w:t xml:space="preserve"> social hubs around which various identities and connections are formed. These institutions provide a forum for expressing and reflecting on who we are collectively, and how we go about debating and arriving at this shared reality.</w:t>
      </w:r>
    </w:p>
    <w:p w14:paraId="200E2529" w14:textId="23627519" w:rsidR="00CE6B92" w:rsidRPr="00CE6B92" w:rsidRDefault="00CE6B92" w:rsidP="001B7F4E">
      <w:pPr>
        <w:rPr>
          <w:lang w:val="en-GB" w:eastAsia="zh-CN" w:bidi="th-TH"/>
        </w:rPr>
      </w:pPr>
      <w:r w:rsidRPr="00CE6B92">
        <w:rPr>
          <w:lang w:val="en-GB" w:eastAsia="zh-CN" w:bidi="th-TH"/>
        </w:rPr>
        <w:lastRenderedPageBreak/>
        <w:t xml:space="preserve">Through participatory models and outreach programs which embrace greater comfort with complexity, respectful dialogue and accommodating plurality, these </w:t>
      </w:r>
      <w:r w:rsidRPr="00CE6B92">
        <w:rPr>
          <w:highlight w:val="white"/>
          <w:lang w:val="en-GB" w:eastAsia="zh-CN" w:bidi="th-TH"/>
        </w:rPr>
        <w:t>institutions encourage</w:t>
      </w:r>
      <w:r w:rsidRPr="00CE6B92">
        <w:rPr>
          <w:lang w:val="en-GB" w:eastAsia="zh-CN" w:bidi="th-TH"/>
        </w:rPr>
        <w:t xml:space="preserve"> connection across difference and help build and strengthen the diverse bridging ties that support the conditions for community wellbeing and resilience. These</w:t>
      </w:r>
      <w:r w:rsidR="00AC39D6">
        <w:rPr>
          <w:lang w:val="en-GB" w:eastAsia="zh-CN" w:bidi="th-TH"/>
        </w:rPr>
        <w:t> </w:t>
      </w:r>
      <w:r w:rsidRPr="00CE6B92">
        <w:rPr>
          <w:lang w:val="en-GB" w:eastAsia="zh-CN" w:bidi="th-TH"/>
        </w:rPr>
        <w:t>conditions can help communities to respond to, withstand and recover from the stresses of</w:t>
      </w:r>
      <w:r w:rsidR="00EA5229">
        <w:rPr>
          <w:lang w:val="en-GB" w:eastAsia="zh-CN" w:bidi="th-TH"/>
        </w:rPr>
        <w:t xml:space="preserve"> mis- </w:t>
      </w:r>
      <w:r w:rsidR="001B7F4E">
        <w:rPr>
          <w:lang w:val="en-GB" w:eastAsia="zh-CN" w:bidi="th-TH"/>
        </w:rPr>
        <w:t>and disinformation</w:t>
      </w:r>
      <w:r w:rsidRPr="00CE6B92">
        <w:rPr>
          <w:lang w:val="en-GB" w:eastAsia="zh-CN" w:bidi="th-TH"/>
        </w:rPr>
        <w:t>.</w:t>
      </w:r>
    </w:p>
    <w:p w14:paraId="59B469D0" w14:textId="6477CB76" w:rsidR="00CE6B92" w:rsidRPr="00CE6B92" w:rsidRDefault="176C3DC4" w:rsidP="00EA02B1">
      <w:pPr>
        <w:pStyle w:val="Heading3"/>
        <w:rPr>
          <w:highlight w:val="white"/>
          <w:lang w:val="en-GB" w:eastAsia="zh-CN" w:bidi="th-TH"/>
        </w:rPr>
      </w:pPr>
      <w:bookmarkStart w:id="24" w:name="_Toc218512181"/>
      <w:bookmarkStart w:id="25" w:name="_Toc218517311"/>
      <w:r w:rsidRPr="1D3F207C">
        <w:rPr>
          <w:highlight w:val="white"/>
          <w:lang w:val="en-GB" w:eastAsia="zh-CN" w:bidi="th-TH"/>
        </w:rPr>
        <w:t>Further directions and considerations</w:t>
      </w:r>
      <w:bookmarkEnd w:id="24"/>
      <w:bookmarkEnd w:id="25"/>
    </w:p>
    <w:p w14:paraId="75DD720A" w14:textId="1B674F0B" w:rsidR="00CE6B92" w:rsidRPr="00CE6B92" w:rsidRDefault="176C3DC4" w:rsidP="001B7F4E">
      <w:pPr>
        <w:rPr>
          <w:lang w:val="en-GB" w:eastAsia="zh-CN" w:bidi="th-TH"/>
        </w:rPr>
      </w:pPr>
      <w:r w:rsidRPr="081C9BFF">
        <w:rPr>
          <w:lang w:val="en-GB" w:eastAsia="zh-CN" w:bidi="th-TH"/>
        </w:rPr>
        <w:t xml:space="preserve">Building a secure and resilient nation is one of the Australian Government’s National Science and Research Priorities, presenting an opportunity for further research exploring how the programs led by cultural and community institutions can best encourage greater engagement with complexity and differences of opinions. </w:t>
      </w:r>
    </w:p>
    <w:p w14:paraId="794C3B2F" w14:textId="28400DE6" w:rsidR="00CE6B92" w:rsidRPr="00CE6B92" w:rsidRDefault="176C3DC4" w:rsidP="001B7F4E">
      <w:pPr>
        <w:rPr>
          <w:lang w:val="en-GB" w:eastAsia="zh-CN" w:bidi="th-TH"/>
        </w:rPr>
      </w:pPr>
      <w:r w:rsidRPr="3D531795">
        <w:rPr>
          <w:lang w:val="en-GB" w:eastAsia="zh-CN" w:bidi="th-TH"/>
        </w:rPr>
        <w:t>Key considerations include:</w:t>
      </w:r>
    </w:p>
    <w:p w14:paraId="7C87661E" w14:textId="08DCD037" w:rsidR="00CE6B92" w:rsidRPr="00CE6B92" w:rsidRDefault="00923EFA" w:rsidP="005E0DEF">
      <w:pPr>
        <w:pStyle w:val="ListParagraph"/>
        <w:rPr>
          <w:lang w:val="en-GB" w:eastAsia="zh-CN" w:bidi="th-TH"/>
        </w:rPr>
      </w:pPr>
      <w:r>
        <w:rPr>
          <w:lang w:val="en-GB" w:eastAsia="zh-CN" w:bidi="th-TH"/>
        </w:rPr>
        <w:t>h</w:t>
      </w:r>
      <w:r w:rsidR="00CE6B92" w:rsidRPr="00CE6B92">
        <w:rPr>
          <w:lang w:val="en-GB" w:eastAsia="zh-CN" w:bidi="th-TH"/>
        </w:rPr>
        <w:t>ow to define the ‘we’ of shared identities as inclusive, rather than exclusionary</w:t>
      </w:r>
    </w:p>
    <w:p w14:paraId="71658A67" w14:textId="39B128B1" w:rsidR="00CE6B92" w:rsidRPr="00CE6B92" w:rsidRDefault="00923EFA" w:rsidP="005E0DEF">
      <w:pPr>
        <w:pStyle w:val="ListParagraph"/>
        <w:rPr>
          <w:lang w:val="en-GB" w:eastAsia="zh-CN" w:bidi="th-TH"/>
        </w:rPr>
      </w:pPr>
      <w:r>
        <w:rPr>
          <w:lang w:val="en-GB" w:eastAsia="zh-CN" w:bidi="th-TH"/>
        </w:rPr>
        <w:t>h</w:t>
      </w:r>
      <w:r w:rsidR="00CE6B92" w:rsidRPr="591951B7">
        <w:rPr>
          <w:lang w:val="en-GB" w:eastAsia="zh-CN" w:bidi="th-TH"/>
        </w:rPr>
        <w:t>ow institutions can reach those who feel excluded from cultural, creative and community experiences and who may be more at risk of low social identification and</w:t>
      </w:r>
      <w:r w:rsidR="00EA5229">
        <w:rPr>
          <w:lang w:val="en-GB" w:eastAsia="zh-CN" w:bidi="th-TH"/>
        </w:rPr>
        <w:t xml:space="preserve"> mis- </w:t>
      </w:r>
      <w:r w:rsidR="5F222995" w:rsidRPr="591951B7">
        <w:rPr>
          <w:lang w:val="en-GB" w:eastAsia="zh-CN" w:bidi="th-TH"/>
        </w:rPr>
        <w:t xml:space="preserve">and </w:t>
      </w:r>
      <w:r w:rsidR="00CE6B92" w:rsidRPr="591951B7">
        <w:rPr>
          <w:lang w:val="en-GB" w:eastAsia="zh-CN" w:bidi="th-TH"/>
        </w:rPr>
        <w:t>disinformation</w:t>
      </w:r>
    </w:p>
    <w:p w14:paraId="5F7B74D9" w14:textId="3F014198" w:rsidR="00CE6B92" w:rsidRPr="00CE6B92" w:rsidRDefault="00923EFA" w:rsidP="005E0DEF">
      <w:pPr>
        <w:pStyle w:val="ListParagraph"/>
        <w:rPr>
          <w:lang w:val="en-GB" w:eastAsia="zh-CN" w:bidi="th-TH"/>
        </w:rPr>
      </w:pPr>
      <w:r>
        <w:rPr>
          <w:lang w:val="en-GB" w:eastAsia="zh-CN" w:bidi="th-TH"/>
        </w:rPr>
        <w:t>w</w:t>
      </w:r>
      <w:r w:rsidR="00CE6B92" w:rsidRPr="00CE6B92">
        <w:rPr>
          <w:lang w:val="en-GB" w:eastAsia="zh-CN" w:bidi="th-TH"/>
        </w:rPr>
        <w:t>hile institutions help maintain a vibrant democracy and public life, they too are subject to interpretation, changing values and political pressure</w:t>
      </w:r>
    </w:p>
    <w:p w14:paraId="1E3E842C" w14:textId="26E4FFD8" w:rsidR="00CE6B92" w:rsidRPr="00B376A0" w:rsidRDefault="00923EFA" w:rsidP="005E0DEF">
      <w:pPr>
        <w:pStyle w:val="ListParagraph"/>
      </w:pPr>
      <w:r>
        <w:rPr>
          <w:lang w:val="en-GB" w:eastAsia="zh-CN" w:bidi="th-TH"/>
        </w:rPr>
        <w:t>p</w:t>
      </w:r>
      <w:r w:rsidR="00CE6B92" w:rsidRPr="591951B7">
        <w:rPr>
          <w:lang w:val="en-GB" w:eastAsia="zh-CN" w:bidi="th-TH"/>
        </w:rPr>
        <w:t xml:space="preserve">articipatory practices </w:t>
      </w:r>
      <w:r w:rsidR="7085E23B" w:rsidRPr="591951B7">
        <w:rPr>
          <w:lang w:val="en-GB" w:eastAsia="zh-CN" w:bidi="th-TH"/>
        </w:rPr>
        <w:t>that</w:t>
      </w:r>
      <w:r w:rsidR="00CE6B92" w:rsidRPr="591951B7">
        <w:rPr>
          <w:lang w:val="en-GB" w:eastAsia="zh-CN" w:bidi="th-TH"/>
        </w:rPr>
        <w:t xml:space="preserve"> are inclusive, accessible and mitigate division, particularly on polarising issues. </w:t>
      </w:r>
    </w:p>
    <w:p w14:paraId="17230A75" w14:textId="77777777" w:rsidR="00CE6B92" w:rsidRPr="00B376A0" w:rsidRDefault="00CE6B92" w:rsidP="00B376A0">
      <w:pPr>
        <w:rPr>
          <w:highlight w:val="white"/>
        </w:rPr>
      </w:pPr>
      <w:r>
        <w:rPr>
          <w:rFonts w:ascii="Aptos" w:eastAsia="Aptos" w:hAnsi="Aptos" w:cs="Aptos"/>
          <w:sz w:val="32"/>
          <w:szCs w:val="32"/>
          <w:highlight w:val="white"/>
          <w:lang w:val="en-GB" w:eastAsia="zh-CN" w:bidi="th-TH"/>
        </w:rPr>
        <w:br w:type="page"/>
      </w:r>
    </w:p>
    <w:p w14:paraId="5F614F91" w14:textId="7EB59506" w:rsidR="00CE6B92" w:rsidRPr="00CE6B92" w:rsidRDefault="00CE6B92" w:rsidP="00EA02B1">
      <w:pPr>
        <w:pStyle w:val="Heading2"/>
        <w:rPr>
          <w:highlight w:val="white"/>
          <w:lang w:val="en-GB" w:eastAsia="zh-CN" w:bidi="th-TH"/>
        </w:rPr>
      </w:pPr>
      <w:bookmarkStart w:id="26" w:name="_Toc218517312"/>
      <w:r w:rsidRPr="00CE6B92">
        <w:rPr>
          <w:highlight w:val="white"/>
          <w:lang w:val="en-GB" w:eastAsia="zh-CN" w:bidi="th-TH"/>
        </w:rPr>
        <w:lastRenderedPageBreak/>
        <w:t>Introduction</w:t>
      </w:r>
      <w:bookmarkEnd w:id="26"/>
    </w:p>
    <w:p w14:paraId="333667BC" w14:textId="3B54BF30" w:rsidR="00CE6B92" w:rsidRPr="00CE6B92" w:rsidRDefault="00CE6B92" w:rsidP="001B7F4E">
      <w:pPr>
        <w:rPr>
          <w:highlight w:val="white"/>
          <w:lang w:val="en-GB" w:eastAsia="zh-CN" w:bidi="th-TH"/>
        </w:rPr>
      </w:pPr>
      <w:r w:rsidRPr="46C0AA85">
        <w:rPr>
          <w:highlight w:val="white"/>
          <w:lang w:val="en-GB" w:eastAsia="zh-CN" w:bidi="th-TH"/>
        </w:rPr>
        <w:t>This report examines the role for cultural and community institutions and structures in building resilience to</w:t>
      </w:r>
      <w:r w:rsidR="00EA5229">
        <w:rPr>
          <w:highlight w:val="white"/>
          <w:lang w:val="en-GB" w:eastAsia="zh-CN" w:bidi="th-TH"/>
        </w:rPr>
        <w:t xml:space="preserve"> mis- </w:t>
      </w:r>
      <w:r w:rsidR="0779A55A" w:rsidRPr="46C0AA85">
        <w:rPr>
          <w:highlight w:val="white"/>
          <w:lang w:val="en-GB" w:eastAsia="zh-CN" w:bidi="th-TH"/>
        </w:rPr>
        <w:t xml:space="preserve">and </w:t>
      </w:r>
      <w:r w:rsidRPr="46C0AA85">
        <w:rPr>
          <w:highlight w:val="white"/>
          <w:lang w:val="en-GB" w:eastAsia="zh-CN" w:bidi="th-TH"/>
        </w:rPr>
        <w:t>disinformation and is intended to inform advice to the Australian Government.</w:t>
      </w:r>
    </w:p>
    <w:p w14:paraId="49366D04" w14:textId="7B50326E" w:rsidR="00CE6B92" w:rsidRPr="00CE6B92" w:rsidRDefault="00CE6B92" w:rsidP="001B7F4E">
      <w:pPr>
        <w:rPr>
          <w:highlight w:val="white"/>
          <w:lang w:val="en-GB" w:eastAsia="zh-CN" w:bidi="th-TH"/>
        </w:rPr>
      </w:pPr>
      <w:r w:rsidRPr="46C0AA85">
        <w:rPr>
          <w:highlight w:val="white"/>
          <w:lang w:val="en-GB" w:eastAsia="zh-CN" w:bidi="th-TH"/>
        </w:rPr>
        <w:t xml:space="preserve">The community and cultural landscape </w:t>
      </w:r>
      <w:proofErr w:type="gramStart"/>
      <w:r w:rsidRPr="46C0AA85">
        <w:rPr>
          <w:highlight w:val="white"/>
          <w:lang w:val="en-GB" w:eastAsia="zh-CN" w:bidi="th-TH"/>
        </w:rPr>
        <w:t>is</w:t>
      </w:r>
      <w:proofErr w:type="gramEnd"/>
      <w:r w:rsidRPr="46C0AA85">
        <w:rPr>
          <w:highlight w:val="white"/>
          <w:lang w:val="en-GB" w:eastAsia="zh-CN" w:bidi="th-TH"/>
        </w:rPr>
        <w:t xml:space="preserve"> vast – on a continuum from large, formal institutions at national and state level to thousands of small community</w:t>
      </w:r>
      <w:r w:rsidR="001404FB">
        <w:rPr>
          <w:highlight w:val="white"/>
          <w:lang w:val="en-GB" w:eastAsia="zh-CN" w:bidi="th-TH"/>
        </w:rPr>
        <w:noBreakHyphen/>
      </w:r>
      <w:r w:rsidRPr="46C0AA85">
        <w:rPr>
          <w:highlight w:val="white"/>
          <w:lang w:val="en-GB" w:eastAsia="zh-CN" w:bidi="th-TH"/>
        </w:rPr>
        <w:t>based organisations led by community members and volunteers. The weight of the evidence with respect to</w:t>
      </w:r>
      <w:r w:rsidR="00EA5229">
        <w:rPr>
          <w:highlight w:val="white"/>
          <w:lang w:val="en-GB" w:eastAsia="zh-CN" w:bidi="th-TH"/>
        </w:rPr>
        <w:t xml:space="preserve"> mis- </w:t>
      </w:r>
      <w:r w:rsidR="37604ACE" w:rsidRPr="46C0AA85">
        <w:rPr>
          <w:highlight w:val="white"/>
          <w:lang w:val="en-GB" w:eastAsia="zh-CN" w:bidi="th-TH"/>
        </w:rPr>
        <w:t xml:space="preserve">and </w:t>
      </w:r>
      <w:r w:rsidRPr="46C0AA85">
        <w:rPr>
          <w:highlight w:val="white"/>
          <w:lang w:val="en-GB" w:eastAsia="zh-CN" w:bidi="th-TH"/>
        </w:rPr>
        <w:t xml:space="preserve">disinformation is on formal </w:t>
      </w:r>
      <w:r w:rsidR="3E0905AF" w:rsidRPr="46C0AA85">
        <w:rPr>
          <w:highlight w:val="white"/>
          <w:lang w:val="en-GB" w:eastAsia="zh-CN" w:bidi="th-TH"/>
        </w:rPr>
        <w:t>institutions and</w:t>
      </w:r>
      <w:r w:rsidRPr="46C0AA85">
        <w:rPr>
          <w:highlight w:val="white"/>
          <w:lang w:val="en-GB" w:eastAsia="zh-CN" w:bidi="th-TH"/>
        </w:rPr>
        <w:t xml:space="preserve"> GLAMs in particular. There is, however, some evidence on more informal cultural and community institutions. This report summarises the evidence to provide broad understanding of the different ways in which people participate in civil society and the implications for resilience to</w:t>
      </w:r>
      <w:r w:rsidR="00EA5229">
        <w:rPr>
          <w:highlight w:val="white"/>
          <w:lang w:val="en-GB" w:eastAsia="zh-CN" w:bidi="th-TH"/>
        </w:rPr>
        <w:t xml:space="preserve"> mis- </w:t>
      </w:r>
      <w:r w:rsidR="4F3F89AF" w:rsidRPr="46C0AA85">
        <w:rPr>
          <w:highlight w:val="white"/>
          <w:lang w:val="en-GB" w:eastAsia="zh-CN" w:bidi="th-TH"/>
        </w:rPr>
        <w:t xml:space="preserve">and </w:t>
      </w:r>
      <w:r w:rsidRPr="46C0AA85">
        <w:rPr>
          <w:highlight w:val="white"/>
          <w:lang w:val="en-GB" w:eastAsia="zh-CN" w:bidi="th-TH"/>
        </w:rPr>
        <w:t>disinformation. In doing so, this report adopts necessarily broad terms, and the authors acknowledge that implications will not apply equally to all institutions or sectors.</w:t>
      </w:r>
    </w:p>
    <w:p w14:paraId="48010480" w14:textId="77777777" w:rsidR="00CE6B92" w:rsidRPr="00CE6B92" w:rsidRDefault="00CE6B92" w:rsidP="001B7F4E">
      <w:pPr>
        <w:rPr>
          <w:highlight w:val="white"/>
          <w:lang w:val="en-GB" w:eastAsia="zh-CN" w:bidi="th-TH"/>
        </w:rPr>
      </w:pPr>
      <w:r w:rsidRPr="00CE6B92">
        <w:rPr>
          <w:highlight w:val="white"/>
          <w:lang w:val="en-GB" w:eastAsia="zh-CN" w:bidi="th-TH"/>
        </w:rPr>
        <w:t>Importantly, while there is an evidence base for how cultural and community institutions can and might support information resilience, it is underdeveloped, and robust evidence on the various aspects of this review was not always available. This has necessitated a balancing of peer and grey literature, including utilising theoretical and indirect evidence and case studies to draw inferences about the relative benefits of different interventions.</w:t>
      </w:r>
    </w:p>
    <w:p w14:paraId="6A16785E" w14:textId="790533F2" w:rsidR="00CE6B92" w:rsidRPr="00CE6B92" w:rsidRDefault="00CE6B92" w:rsidP="000719BB">
      <w:pPr>
        <w:pStyle w:val="Heading3"/>
        <w:rPr>
          <w:highlight w:val="white"/>
          <w:lang w:val="en-GB" w:eastAsia="zh-CN" w:bidi="th-TH"/>
        </w:rPr>
      </w:pPr>
      <w:bookmarkStart w:id="27" w:name="_Toc218512183"/>
      <w:bookmarkStart w:id="28" w:name="_Toc218517313"/>
      <w:r w:rsidRPr="00CE6B92">
        <w:rPr>
          <w:highlight w:val="white"/>
          <w:lang w:val="en-GB" w:eastAsia="zh-CN" w:bidi="th-TH"/>
        </w:rPr>
        <w:t>Background</w:t>
      </w:r>
      <w:bookmarkEnd w:id="27"/>
      <w:bookmarkEnd w:id="28"/>
      <w:r w:rsidRPr="00CE6B92">
        <w:rPr>
          <w:highlight w:val="white"/>
          <w:lang w:val="en-GB" w:eastAsia="zh-CN" w:bidi="th-TH"/>
        </w:rPr>
        <w:t xml:space="preserve"> </w:t>
      </w:r>
    </w:p>
    <w:p w14:paraId="7B148E21" w14:textId="2A06EB86" w:rsidR="00CE6B92" w:rsidRPr="00EA02B1" w:rsidRDefault="00CE6B92" w:rsidP="000719BB">
      <w:pPr>
        <w:pStyle w:val="Quote"/>
      </w:pPr>
      <w:r w:rsidRPr="00EA02B1">
        <w:t>Cultural and community institutions are key sites of civic engagement in Australia. They collect, host, produce and share vast amounts of information and function as social infrastructure, building and maintaining social cohesion and enhancing the conditions for resilience to</w:t>
      </w:r>
      <w:r w:rsidR="00EA5229">
        <w:t xml:space="preserve"> mis- </w:t>
      </w:r>
      <w:r w:rsidR="00BF6FEA" w:rsidRPr="00EA02B1">
        <w:t xml:space="preserve">and </w:t>
      </w:r>
      <w:r w:rsidRPr="00EA02B1">
        <w:t>disinformation.</w:t>
      </w:r>
    </w:p>
    <w:p w14:paraId="5E9D7BFA" w14:textId="55564C34" w:rsidR="00CE6B92" w:rsidRPr="00CE6B92" w:rsidRDefault="00CE6B92" w:rsidP="001B7F4E">
      <w:pPr>
        <w:rPr>
          <w:highlight w:val="white"/>
          <w:lang w:val="en-GB" w:eastAsia="zh-CN" w:bidi="th-TH"/>
        </w:rPr>
      </w:pPr>
      <w:bookmarkStart w:id="29" w:name="_sqn1f9usacig"/>
      <w:bookmarkEnd w:id="29"/>
      <w:r w:rsidRPr="5740C5A0">
        <w:rPr>
          <w:highlight w:val="white"/>
          <w:lang w:val="en-GB" w:eastAsia="zh-CN" w:bidi="th-TH"/>
        </w:rPr>
        <w:t>Our ability to share information quickly, widely and inexpensively is an extraordinary achievement in terms of democratising knowledge. However, an increasingly complex information landscape, with multiple platforms and global reach, has led to the rapid spread of</w:t>
      </w:r>
      <w:r w:rsidR="00EA5229">
        <w:rPr>
          <w:highlight w:val="white"/>
          <w:lang w:val="en-GB" w:eastAsia="zh-CN" w:bidi="th-TH"/>
        </w:rPr>
        <w:t xml:space="preserve"> mis- </w:t>
      </w:r>
      <w:r w:rsidR="32303576" w:rsidRPr="5740C5A0">
        <w:rPr>
          <w:highlight w:val="white"/>
          <w:lang w:val="en-GB" w:eastAsia="zh-CN" w:bidi="th-TH"/>
        </w:rPr>
        <w:t xml:space="preserve">and </w:t>
      </w:r>
      <w:r w:rsidRPr="5740C5A0">
        <w:rPr>
          <w:highlight w:val="white"/>
          <w:lang w:val="en-GB" w:eastAsia="zh-CN" w:bidi="th-TH"/>
        </w:rPr>
        <w:t>disinformation and fuelled polarisation, eroded trust in reliable sources of information and distorted the shared reality upon which liberal democracies rely</w:t>
      </w:r>
      <w:r w:rsidR="00F140F0">
        <w:rPr>
          <w:highlight w:val="white"/>
          <w:lang w:val="en-GB" w:eastAsia="zh-CN" w:bidi="th-TH"/>
        </w:rPr>
        <w:t xml:space="preserve"> (</w:t>
      </w:r>
      <w:r w:rsidR="004717FD" w:rsidRPr="00CE6B92">
        <w:rPr>
          <w:rFonts w:ascii="Aptos" w:eastAsia="Aptos" w:hAnsi="Aptos" w:cs="Aptos"/>
          <w:szCs w:val="28"/>
          <w:lang w:val="en-GB" w:eastAsia="zh-CN" w:bidi="th-TH"/>
        </w:rPr>
        <w:t>International Panel on the Information Environment 2024</w:t>
      </w:r>
      <w:r w:rsidR="00F140F0">
        <w:rPr>
          <w:highlight w:val="white"/>
          <w:lang w:val="en-GB" w:eastAsia="zh-CN" w:bidi="th-TH"/>
        </w:rPr>
        <w:t>).</w:t>
      </w:r>
      <w:r w:rsidR="002F5308">
        <w:rPr>
          <w:highlight w:val="white"/>
          <w:lang w:val="en-GB" w:eastAsia="zh-CN" w:bidi="th-TH"/>
        </w:rPr>
        <w:t xml:space="preserve"> </w:t>
      </w:r>
      <w:r w:rsidRPr="5740C5A0">
        <w:rPr>
          <w:highlight w:val="white"/>
          <w:lang w:val="en-GB" w:eastAsia="zh-CN" w:bidi="th-TH"/>
        </w:rPr>
        <w:t>Misinformation and disinformation are generally distinguished by intent</w:t>
      </w:r>
      <w:r w:rsidR="00AC39D6">
        <w:rPr>
          <w:highlight w:val="white"/>
          <w:lang w:val="en-GB" w:eastAsia="zh-CN" w:bidi="th-TH"/>
        </w:rPr>
        <w:t xml:space="preserve">; </w:t>
      </w:r>
      <w:r w:rsidRPr="5740C5A0">
        <w:rPr>
          <w:highlight w:val="white"/>
          <w:lang w:val="en-GB" w:eastAsia="zh-CN" w:bidi="th-TH"/>
        </w:rPr>
        <w:t>disinformation actively intends to deceive, while misinformation is unintended, arising from ignorance and bias</w:t>
      </w:r>
      <w:r w:rsidR="00F140F0">
        <w:rPr>
          <w:highlight w:val="white"/>
          <w:lang w:val="en-GB" w:eastAsia="zh-CN" w:bidi="th-TH"/>
        </w:rPr>
        <w:t xml:space="preserve"> (</w:t>
      </w:r>
      <w:r w:rsidR="00BD1C4D" w:rsidRPr="00CE6B92">
        <w:rPr>
          <w:rFonts w:ascii="Aptos" w:eastAsia="Aptos" w:hAnsi="Aptos" w:cs="Aptos"/>
          <w:szCs w:val="28"/>
          <w:lang w:val="en-GB" w:eastAsia="zh-CN" w:bidi="th-TH"/>
        </w:rPr>
        <w:t>Given</w:t>
      </w:r>
      <w:r w:rsidR="00BD1C4D">
        <w:rPr>
          <w:rFonts w:ascii="Aptos" w:eastAsia="Aptos" w:hAnsi="Aptos" w:cs="Aptos"/>
          <w:szCs w:val="28"/>
          <w:lang w:val="en-GB" w:eastAsia="zh-CN" w:bidi="th-TH"/>
        </w:rPr>
        <w:t xml:space="preserve"> et al. 2023</w:t>
      </w:r>
      <w:r w:rsidR="00F140F0">
        <w:rPr>
          <w:highlight w:val="white"/>
          <w:lang w:val="en-GB" w:eastAsia="zh-CN" w:bidi="th-TH"/>
        </w:rPr>
        <w:t>).</w:t>
      </w:r>
      <w:r w:rsidRPr="5740C5A0">
        <w:rPr>
          <w:highlight w:val="white"/>
          <w:lang w:val="en-GB" w:eastAsia="zh-CN" w:bidi="th-TH"/>
        </w:rPr>
        <w:t xml:space="preserve"> We may see the recent prevalence of</w:t>
      </w:r>
      <w:r w:rsidR="00EA5229">
        <w:rPr>
          <w:highlight w:val="white"/>
          <w:lang w:val="en-GB" w:eastAsia="zh-CN" w:bidi="th-TH"/>
        </w:rPr>
        <w:t xml:space="preserve"> mis- </w:t>
      </w:r>
      <w:r w:rsidR="6C8A7088" w:rsidRPr="5740C5A0">
        <w:rPr>
          <w:highlight w:val="white"/>
          <w:lang w:val="en-GB" w:eastAsia="zh-CN" w:bidi="th-TH"/>
        </w:rPr>
        <w:t xml:space="preserve">and </w:t>
      </w:r>
      <w:r w:rsidRPr="5740C5A0">
        <w:rPr>
          <w:highlight w:val="white"/>
          <w:lang w:val="en-GB" w:eastAsia="zh-CN" w:bidi="th-TH"/>
        </w:rPr>
        <w:t>disinformation and scepticism towards expertise as a particular challenge of our times, yet ‘fake news’ dates to ancient Greek society</w:t>
      </w:r>
      <w:r w:rsidR="00490524">
        <w:rPr>
          <w:highlight w:val="white"/>
          <w:lang w:val="en-GB" w:eastAsia="zh-CN" w:bidi="th-TH"/>
        </w:rPr>
        <w:t xml:space="preserve"> (De Brasi et al. 2024)</w:t>
      </w:r>
      <w:r w:rsidR="00201C66">
        <w:rPr>
          <w:highlight w:val="white"/>
          <w:lang w:val="en-GB" w:eastAsia="zh-CN" w:bidi="th-TH"/>
        </w:rPr>
        <w:t xml:space="preserve"> </w:t>
      </w:r>
      <w:r w:rsidRPr="5740C5A0">
        <w:rPr>
          <w:highlight w:val="white"/>
          <w:lang w:val="en-GB" w:eastAsia="zh-CN" w:bidi="th-TH"/>
        </w:rPr>
        <w:t>and has featured during wartime propaganda campaigns</w:t>
      </w:r>
      <w:r w:rsidR="00F140F0">
        <w:rPr>
          <w:highlight w:val="white"/>
          <w:lang w:val="en-GB" w:eastAsia="zh-CN" w:bidi="th-TH"/>
        </w:rPr>
        <w:t xml:space="preserve"> (</w:t>
      </w:r>
      <w:proofErr w:type="spellStart"/>
      <w:r w:rsidR="00BD1C4D" w:rsidRPr="00CE6B92">
        <w:rPr>
          <w:rFonts w:ascii="Aptos" w:eastAsia="Aptos" w:hAnsi="Aptos" w:cs="Aptos"/>
          <w:szCs w:val="28"/>
          <w:lang w:val="en-GB" w:eastAsia="zh-CN" w:bidi="th-TH"/>
        </w:rPr>
        <w:t>Argemi</w:t>
      </w:r>
      <w:proofErr w:type="spellEnd"/>
      <w:r w:rsidR="00BD1C4D" w:rsidRPr="00CE6B92">
        <w:rPr>
          <w:rFonts w:ascii="Aptos" w:eastAsia="Aptos" w:hAnsi="Aptos" w:cs="Aptos"/>
          <w:szCs w:val="28"/>
          <w:lang w:val="en-GB" w:eastAsia="zh-CN" w:bidi="th-TH"/>
        </w:rPr>
        <w:t xml:space="preserve"> and Fine 2018</w:t>
      </w:r>
      <w:r w:rsidR="00DB3FB5">
        <w:rPr>
          <w:rFonts w:ascii="Aptos" w:eastAsia="Aptos" w:hAnsi="Aptos" w:cs="Aptos"/>
          <w:szCs w:val="28"/>
          <w:lang w:val="en-GB" w:eastAsia="zh-CN" w:bidi="th-TH"/>
        </w:rPr>
        <w:t xml:space="preserve">; </w:t>
      </w:r>
      <w:proofErr w:type="spellStart"/>
      <w:r w:rsidR="00F15CBB" w:rsidRPr="00CE6B92">
        <w:rPr>
          <w:rFonts w:ascii="Aptos" w:eastAsia="Aptos" w:hAnsi="Aptos" w:cs="Aptos"/>
          <w:szCs w:val="28"/>
          <w:lang w:val="en-GB" w:eastAsia="zh-CN" w:bidi="th-TH"/>
        </w:rPr>
        <w:t>Posetti</w:t>
      </w:r>
      <w:proofErr w:type="spellEnd"/>
      <w:r w:rsidR="00F15CBB" w:rsidRPr="00CE6B92">
        <w:rPr>
          <w:rFonts w:ascii="Aptos" w:eastAsia="Aptos" w:hAnsi="Aptos" w:cs="Aptos"/>
          <w:szCs w:val="28"/>
          <w:lang w:val="en-GB" w:eastAsia="zh-CN" w:bidi="th-TH"/>
        </w:rPr>
        <w:t xml:space="preserve"> and Matthews 2018</w:t>
      </w:r>
      <w:r w:rsidR="00F140F0">
        <w:rPr>
          <w:highlight w:val="white"/>
          <w:lang w:val="en-GB" w:eastAsia="zh-CN" w:bidi="th-TH"/>
        </w:rPr>
        <w:t>).</w:t>
      </w:r>
    </w:p>
    <w:p w14:paraId="7CC956A0" w14:textId="77777777" w:rsidR="00201C66" w:rsidRDefault="00CE6B92" w:rsidP="001B7F4E">
      <w:pPr>
        <w:rPr>
          <w:lang w:val="en-GB" w:eastAsia="zh-CN" w:bidi="th-TH"/>
        </w:rPr>
      </w:pPr>
      <w:r w:rsidRPr="3E37A2A0">
        <w:rPr>
          <w:highlight w:val="white"/>
          <w:lang w:val="en-GB" w:eastAsia="zh-CN" w:bidi="th-TH"/>
        </w:rPr>
        <w:t>Within this context, information resilience refers to individual, institutional or community capacity to withstand and recover from the impacts of</w:t>
      </w:r>
      <w:r w:rsidR="00EA5229">
        <w:rPr>
          <w:highlight w:val="white"/>
          <w:lang w:val="en-GB" w:eastAsia="zh-CN" w:bidi="th-TH"/>
        </w:rPr>
        <w:t xml:space="preserve"> mis- </w:t>
      </w:r>
      <w:r w:rsidR="1BF367A6" w:rsidRPr="3E37A2A0">
        <w:rPr>
          <w:lang w:val="en-GB" w:eastAsia="zh-CN" w:bidi="th-TH"/>
        </w:rPr>
        <w:t xml:space="preserve">and </w:t>
      </w:r>
      <w:r w:rsidRPr="3E37A2A0">
        <w:rPr>
          <w:lang w:val="en-GB" w:eastAsia="zh-CN" w:bidi="th-TH"/>
        </w:rPr>
        <w:lastRenderedPageBreak/>
        <w:t>disinformation</w:t>
      </w:r>
      <w:r w:rsidRPr="3E37A2A0">
        <w:rPr>
          <w:highlight w:val="white"/>
          <w:lang w:val="en-GB" w:eastAsia="zh-CN" w:bidi="th-TH"/>
        </w:rPr>
        <w:t>. Information resilience is characterised as involving contextual components (e.g. trust in institutions, political polarisation), features of a society’s information</w:t>
      </w:r>
      <w:r w:rsidR="001404FB">
        <w:rPr>
          <w:highlight w:val="white"/>
          <w:lang w:val="en-GB" w:eastAsia="zh-CN" w:bidi="th-TH"/>
        </w:rPr>
        <w:noBreakHyphen/>
      </w:r>
      <w:r w:rsidRPr="3E37A2A0">
        <w:rPr>
          <w:highlight w:val="white"/>
          <w:lang w:val="en-GB" w:eastAsia="zh-CN" w:bidi="th-TH"/>
        </w:rPr>
        <w:t>distribution institutions and the individual critical thinking competencies needed to navigate complex information landscapes</w:t>
      </w:r>
      <w:r w:rsidR="00F140F0">
        <w:rPr>
          <w:highlight w:val="white"/>
          <w:lang w:val="en-GB" w:eastAsia="zh-CN" w:bidi="th-TH"/>
        </w:rPr>
        <w:t xml:space="preserve"> (</w:t>
      </w:r>
      <w:r w:rsidR="00386DE5" w:rsidRPr="00CE6B92">
        <w:rPr>
          <w:rFonts w:ascii="Aptos" w:eastAsia="Aptos" w:hAnsi="Aptos" w:cs="Aptos"/>
          <w:szCs w:val="28"/>
          <w:lang w:val="en-GB" w:eastAsia="zh-CN" w:bidi="th-TH"/>
        </w:rPr>
        <w:t xml:space="preserve">Dragomir </w:t>
      </w:r>
      <w:r w:rsidR="00386DE5">
        <w:rPr>
          <w:rFonts w:ascii="Aptos" w:eastAsia="Aptos" w:hAnsi="Aptos" w:cs="Aptos"/>
          <w:szCs w:val="28"/>
          <w:lang w:val="en-GB" w:eastAsia="zh-CN" w:bidi="th-TH"/>
        </w:rPr>
        <w:t xml:space="preserve">et al. </w:t>
      </w:r>
      <w:r w:rsidR="00386DE5" w:rsidRPr="00CE6B92">
        <w:rPr>
          <w:rFonts w:ascii="Aptos" w:eastAsia="Aptos" w:hAnsi="Aptos" w:cs="Aptos"/>
          <w:szCs w:val="28"/>
          <w:lang w:val="en-GB" w:eastAsia="zh-CN" w:bidi="th-TH"/>
        </w:rPr>
        <w:t>2024</w:t>
      </w:r>
      <w:r w:rsidR="005D3F72">
        <w:rPr>
          <w:rFonts w:ascii="Aptos" w:eastAsia="Aptos" w:hAnsi="Aptos" w:cs="Aptos"/>
          <w:szCs w:val="28"/>
          <w:lang w:val="en-GB" w:eastAsia="zh-CN" w:bidi="th-TH"/>
        </w:rPr>
        <w:t xml:space="preserve">; </w:t>
      </w:r>
      <w:proofErr w:type="spellStart"/>
      <w:r w:rsidR="005D3F72" w:rsidRPr="00CE6B92">
        <w:rPr>
          <w:rFonts w:ascii="Aptos" w:eastAsia="Aptos" w:hAnsi="Aptos" w:cs="Aptos"/>
          <w:szCs w:val="28"/>
          <w:lang w:val="en-GB" w:eastAsia="zh-CN" w:bidi="th-TH"/>
        </w:rPr>
        <w:t>Humprecht</w:t>
      </w:r>
      <w:proofErr w:type="spellEnd"/>
      <w:r w:rsidR="005D3F72">
        <w:rPr>
          <w:rFonts w:ascii="Aptos" w:eastAsia="Aptos" w:hAnsi="Aptos" w:cs="Aptos"/>
          <w:szCs w:val="28"/>
          <w:lang w:val="en-GB" w:eastAsia="zh-CN" w:bidi="th-TH"/>
        </w:rPr>
        <w:t xml:space="preserve"> et al. 2021</w:t>
      </w:r>
      <w:r w:rsidR="00F140F0">
        <w:rPr>
          <w:highlight w:val="white"/>
          <w:lang w:val="en-GB" w:eastAsia="zh-CN" w:bidi="th-TH"/>
        </w:rPr>
        <w:t>).</w:t>
      </w:r>
      <w:r w:rsidR="00201C66">
        <w:rPr>
          <w:lang w:val="en-GB" w:eastAsia="zh-CN" w:bidi="th-TH"/>
        </w:rPr>
        <w:t xml:space="preserve"> </w:t>
      </w:r>
      <w:r w:rsidRPr="3E37A2A0">
        <w:rPr>
          <w:lang w:val="en-GB" w:eastAsia="zh-CN" w:bidi="th-TH"/>
        </w:rPr>
        <w:t>Cross</w:t>
      </w:r>
      <w:r w:rsidR="001404FB">
        <w:rPr>
          <w:lang w:val="en-GB" w:eastAsia="zh-CN" w:bidi="th-TH"/>
        </w:rPr>
        <w:noBreakHyphen/>
      </w:r>
      <w:r w:rsidRPr="3E37A2A0">
        <w:rPr>
          <w:lang w:val="en-GB" w:eastAsia="zh-CN" w:bidi="th-TH"/>
        </w:rPr>
        <w:t>national comparative analyses find that trust in institutions, other members of a group and in information sources supports information resilience. This suggests that information and media literacy alone is not enough to effectively combat</w:t>
      </w:r>
      <w:r w:rsidR="00EA5229">
        <w:rPr>
          <w:lang w:val="en-GB" w:eastAsia="zh-CN" w:bidi="th-TH"/>
        </w:rPr>
        <w:t xml:space="preserve"> mis- </w:t>
      </w:r>
      <w:r w:rsidR="087F4991" w:rsidRPr="3E37A2A0">
        <w:rPr>
          <w:lang w:val="en-GB" w:eastAsia="zh-CN" w:bidi="th-TH"/>
        </w:rPr>
        <w:t xml:space="preserve">and </w:t>
      </w:r>
      <w:r w:rsidRPr="3E37A2A0">
        <w:rPr>
          <w:lang w:val="en-GB" w:eastAsia="zh-CN" w:bidi="th-TH"/>
        </w:rPr>
        <w:t>disinformation, and that complementary, evidence</w:t>
      </w:r>
      <w:r w:rsidR="001404FB">
        <w:rPr>
          <w:lang w:val="en-GB" w:eastAsia="zh-CN" w:bidi="th-TH"/>
        </w:rPr>
        <w:noBreakHyphen/>
      </w:r>
      <w:r w:rsidRPr="3E37A2A0">
        <w:rPr>
          <w:lang w:val="en-GB" w:eastAsia="zh-CN" w:bidi="th-TH"/>
        </w:rPr>
        <w:t>based social interventions are also needed</w:t>
      </w:r>
      <w:r w:rsidR="00F140F0">
        <w:rPr>
          <w:lang w:val="en-GB" w:eastAsia="zh-CN" w:bidi="th-TH"/>
        </w:rPr>
        <w:t xml:space="preserve"> (</w:t>
      </w:r>
      <w:r w:rsidR="005D3F72" w:rsidRPr="00CE6B92">
        <w:rPr>
          <w:rFonts w:ascii="Aptos" w:eastAsia="Aptos" w:hAnsi="Aptos" w:cs="Aptos"/>
          <w:szCs w:val="28"/>
          <w:lang w:val="en-GB" w:eastAsia="zh-CN" w:bidi="th-TH"/>
        </w:rPr>
        <w:t xml:space="preserve">Dragomir </w:t>
      </w:r>
      <w:r w:rsidR="005D3F72">
        <w:rPr>
          <w:rFonts w:ascii="Aptos" w:eastAsia="Aptos" w:hAnsi="Aptos" w:cs="Aptos"/>
          <w:szCs w:val="28"/>
          <w:lang w:val="en-GB" w:eastAsia="zh-CN" w:bidi="th-TH"/>
        </w:rPr>
        <w:t xml:space="preserve">et al. </w:t>
      </w:r>
      <w:r w:rsidR="005D3F72" w:rsidRPr="00CE6B92">
        <w:rPr>
          <w:rFonts w:ascii="Aptos" w:eastAsia="Aptos" w:hAnsi="Aptos" w:cs="Aptos"/>
          <w:szCs w:val="28"/>
          <w:lang w:val="en-GB" w:eastAsia="zh-CN" w:bidi="th-TH"/>
        </w:rPr>
        <w:t>2024</w:t>
      </w:r>
      <w:r w:rsidR="005D3F72">
        <w:rPr>
          <w:rFonts w:ascii="Aptos" w:eastAsia="Aptos" w:hAnsi="Aptos" w:cs="Aptos"/>
          <w:szCs w:val="28"/>
          <w:lang w:val="en-GB" w:eastAsia="zh-CN" w:bidi="th-TH"/>
        </w:rPr>
        <w:t xml:space="preserve">; </w:t>
      </w:r>
      <w:proofErr w:type="spellStart"/>
      <w:r w:rsidR="005D3F72" w:rsidRPr="00CE6B92">
        <w:rPr>
          <w:rFonts w:ascii="Aptos" w:eastAsia="Aptos" w:hAnsi="Aptos" w:cs="Aptos"/>
          <w:szCs w:val="28"/>
          <w:lang w:val="en-GB" w:eastAsia="zh-CN" w:bidi="th-TH"/>
        </w:rPr>
        <w:t>Humprecht</w:t>
      </w:r>
      <w:proofErr w:type="spellEnd"/>
      <w:r w:rsidR="005D3F72">
        <w:rPr>
          <w:rFonts w:ascii="Aptos" w:eastAsia="Aptos" w:hAnsi="Aptos" w:cs="Aptos"/>
          <w:szCs w:val="28"/>
          <w:lang w:val="en-GB" w:eastAsia="zh-CN" w:bidi="th-TH"/>
        </w:rPr>
        <w:t xml:space="preserve"> et al. 2020; </w:t>
      </w:r>
      <w:proofErr w:type="spellStart"/>
      <w:r w:rsidR="005D3F72" w:rsidRPr="00CE6B92">
        <w:rPr>
          <w:rFonts w:ascii="Aptos" w:eastAsia="Aptos" w:hAnsi="Aptos" w:cs="Aptos"/>
          <w:szCs w:val="28"/>
          <w:lang w:val="en-GB" w:eastAsia="zh-CN" w:bidi="th-TH"/>
        </w:rPr>
        <w:t>Humprecht</w:t>
      </w:r>
      <w:proofErr w:type="spellEnd"/>
      <w:r w:rsidR="005D3F72">
        <w:rPr>
          <w:rFonts w:ascii="Aptos" w:eastAsia="Aptos" w:hAnsi="Aptos" w:cs="Aptos"/>
          <w:szCs w:val="28"/>
          <w:lang w:val="en-GB" w:eastAsia="zh-CN" w:bidi="th-TH"/>
        </w:rPr>
        <w:t xml:space="preserve"> et al. 2021</w:t>
      </w:r>
      <w:r w:rsidR="00F140F0">
        <w:rPr>
          <w:lang w:val="en-GB" w:eastAsia="zh-CN" w:bidi="th-TH"/>
        </w:rPr>
        <w:t>).</w:t>
      </w:r>
    </w:p>
    <w:p w14:paraId="199FF130" w14:textId="77777777" w:rsidR="007A42EB" w:rsidRDefault="00CE6B92" w:rsidP="001B7F4E">
      <w:pPr>
        <w:rPr>
          <w:rFonts w:ascii="Aptos" w:eastAsia="Aptos" w:hAnsi="Aptos" w:cs="Aptos"/>
          <w:highlight w:val="white"/>
          <w:lang w:val="en-GB" w:eastAsia="zh-CN" w:bidi="th-TH"/>
        </w:rPr>
      </w:pPr>
      <w:r w:rsidRPr="3E37A2A0">
        <w:rPr>
          <w:rFonts w:ascii="Aptos" w:eastAsia="Aptos" w:hAnsi="Aptos" w:cs="Aptos"/>
          <w:highlight w:val="white"/>
          <w:lang w:val="en-GB" w:eastAsia="zh-CN" w:bidi="th-TH"/>
        </w:rPr>
        <w:t>The social psychology concept of social identification is relevant to</w:t>
      </w:r>
      <w:r w:rsidR="00EA5229">
        <w:rPr>
          <w:rFonts w:ascii="Aptos" w:eastAsia="Aptos" w:hAnsi="Aptos" w:cs="Aptos"/>
          <w:highlight w:val="white"/>
          <w:lang w:val="en-GB" w:eastAsia="zh-CN" w:bidi="th-TH"/>
        </w:rPr>
        <w:t xml:space="preserve"> mis- </w:t>
      </w:r>
      <w:r w:rsidR="7519C9B6" w:rsidRPr="3E37A2A0">
        <w:rPr>
          <w:rFonts w:ascii="Aptos" w:eastAsia="Aptos" w:hAnsi="Aptos" w:cs="Aptos"/>
          <w:highlight w:val="white"/>
          <w:lang w:val="en-GB" w:eastAsia="zh-CN" w:bidi="th-TH"/>
        </w:rPr>
        <w:t xml:space="preserve">and </w:t>
      </w:r>
      <w:r w:rsidRPr="3E37A2A0">
        <w:rPr>
          <w:rFonts w:ascii="Aptos" w:eastAsia="Aptos" w:hAnsi="Aptos" w:cs="Aptos"/>
          <w:highlight w:val="white"/>
          <w:lang w:val="en-GB" w:eastAsia="zh-CN" w:bidi="th-TH"/>
        </w:rPr>
        <w:t>disinformation and social cohesion more generally. Social identification relates to the conditions which contribute to an individual’s sense of identity based on group membership. It informs and is shaped by shared norms and behaviours, and can encourage mindsets that prevent division, including how information is received and acted on</w:t>
      </w:r>
      <w:r w:rsidR="005D3F72">
        <w:rPr>
          <w:rFonts w:ascii="Aptos" w:eastAsia="Aptos" w:hAnsi="Aptos" w:cs="Aptos"/>
          <w:highlight w:val="white"/>
          <w:lang w:val="en-GB" w:eastAsia="zh-CN" w:bidi="th-TH"/>
        </w:rPr>
        <w:t xml:space="preserve"> (</w:t>
      </w:r>
      <w:r w:rsidR="00A50C1B" w:rsidRPr="00CE6B92">
        <w:rPr>
          <w:rFonts w:ascii="Aptos" w:eastAsia="Aptos" w:hAnsi="Aptos" w:cs="Aptos"/>
          <w:szCs w:val="28"/>
          <w:lang w:val="en-GB" w:eastAsia="zh-CN" w:bidi="th-TH"/>
        </w:rPr>
        <w:t>Fraser and Aldrich 2021</w:t>
      </w:r>
      <w:r w:rsidR="00A50C1B">
        <w:rPr>
          <w:rFonts w:ascii="Aptos" w:eastAsia="Aptos" w:hAnsi="Aptos" w:cs="Aptos"/>
          <w:szCs w:val="28"/>
          <w:lang w:val="en-GB" w:eastAsia="zh-CN" w:bidi="th-TH"/>
        </w:rPr>
        <w:t>; Fraser et al. 2021</w:t>
      </w:r>
      <w:r w:rsidR="005D3F72">
        <w:rPr>
          <w:rFonts w:ascii="Aptos" w:eastAsia="Aptos" w:hAnsi="Aptos" w:cs="Aptos"/>
          <w:highlight w:val="white"/>
          <w:lang w:val="en-GB" w:eastAsia="zh-CN" w:bidi="th-TH"/>
        </w:rPr>
        <w:t>)</w:t>
      </w:r>
      <w:r w:rsidR="00201C66">
        <w:rPr>
          <w:rFonts w:ascii="Aptos" w:eastAsia="Aptos" w:hAnsi="Aptos" w:cs="Aptos"/>
          <w:highlight w:val="white"/>
          <w:lang w:val="en-GB" w:eastAsia="zh-CN" w:bidi="th-TH"/>
        </w:rPr>
        <w:t xml:space="preserve"> </w:t>
      </w:r>
      <w:r w:rsidRPr="3E37A2A0">
        <w:rPr>
          <w:rFonts w:ascii="Aptos" w:eastAsia="Aptos" w:hAnsi="Aptos" w:cs="Aptos"/>
          <w:highlight w:val="white"/>
          <w:lang w:val="en-GB" w:eastAsia="zh-CN" w:bidi="th-TH"/>
        </w:rPr>
        <w:t>and levels of social and institutional trust</w:t>
      </w:r>
      <w:r w:rsidR="00F140F0">
        <w:rPr>
          <w:rFonts w:ascii="Aptos" w:eastAsia="Aptos" w:hAnsi="Aptos" w:cs="Aptos"/>
          <w:highlight w:val="white"/>
          <w:lang w:val="en-GB" w:eastAsia="zh-CN" w:bidi="th-TH"/>
        </w:rPr>
        <w:t xml:space="preserve"> (</w:t>
      </w:r>
      <w:r w:rsidR="005E742B">
        <w:rPr>
          <w:rFonts w:ascii="Aptos" w:eastAsia="Aptos" w:hAnsi="Aptos" w:cs="Aptos"/>
          <w:highlight w:val="white"/>
          <w:lang w:val="en-GB" w:eastAsia="zh-CN" w:bidi="th-TH"/>
        </w:rPr>
        <w:t xml:space="preserve">Allen 2004; Platow et al. 2012; Wang et al. </w:t>
      </w:r>
      <w:r w:rsidR="00500C80">
        <w:rPr>
          <w:rFonts w:ascii="Aptos" w:eastAsia="Aptos" w:hAnsi="Aptos" w:cs="Aptos"/>
          <w:highlight w:val="white"/>
          <w:lang w:val="en-GB" w:eastAsia="zh-CN" w:bidi="th-TH"/>
        </w:rPr>
        <w:t>2023</w:t>
      </w:r>
      <w:r w:rsidR="00F140F0">
        <w:rPr>
          <w:rFonts w:ascii="Aptos" w:eastAsia="Aptos" w:hAnsi="Aptos" w:cs="Aptos"/>
          <w:highlight w:val="white"/>
          <w:lang w:val="en-GB" w:eastAsia="zh-CN" w:bidi="th-TH"/>
        </w:rPr>
        <w:t>).</w:t>
      </w:r>
    </w:p>
    <w:p w14:paraId="260E8942" w14:textId="77777777" w:rsidR="007A42EB" w:rsidRDefault="00CE6B92" w:rsidP="001B7F4E">
      <w:pPr>
        <w:rPr>
          <w:rFonts w:ascii="Aptos" w:eastAsia="Aptos" w:hAnsi="Aptos" w:cs="Aptos"/>
          <w:lang w:val="en-GB" w:eastAsia="zh-CN" w:bidi="th-TH"/>
        </w:rPr>
      </w:pPr>
      <w:r w:rsidRPr="3E37A2A0">
        <w:rPr>
          <w:rFonts w:ascii="Aptos" w:eastAsia="Aptos" w:hAnsi="Aptos" w:cs="Aptos"/>
          <w:highlight w:val="white"/>
          <w:lang w:val="en-GB" w:eastAsia="zh-CN" w:bidi="th-TH"/>
        </w:rPr>
        <w:t>Research links l</w:t>
      </w:r>
      <w:r w:rsidRPr="3E37A2A0">
        <w:rPr>
          <w:rFonts w:ascii="Aptos" w:eastAsia="Aptos" w:hAnsi="Aptos" w:cs="Aptos"/>
          <w:lang w:val="en-GB" w:eastAsia="zh-CN" w:bidi="th-TH"/>
        </w:rPr>
        <w:t>ow levels of social identification to susceptibility to paranoia, conspiratorial worldviews and polarisation</w:t>
      </w:r>
      <w:r w:rsidR="00F140F0">
        <w:rPr>
          <w:rFonts w:ascii="Aptos" w:eastAsia="Aptos" w:hAnsi="Aptos" w:cs="Aptos"/>
          <w:lang w:val="en-GB" w:eastAsia="zh-CN" w:bidi="th-TH"/>
        </w:rPr>
        <w:t xml:space="preserve"> (</w:t>
      </w:r>
      <w:r w:rsidR="00500C80" w:rsidRPr="00CE6B92">
        <w:rPr>
          <w:rFonts w:ascii="Aptos" w:eastAsia="Aptos" w:hAnsi="Aptos" w:cs="Aptos"/>
          <w:szCs w:val="28"/>
          <w:lang w:val="en-GB" w:eastAsia="zh-CN" w:bidi="th-TH"/>
        </w:rPr>
        <w:t>Greenaway</w:t>
      </w:r>
      <w:r w:rsidR="00500C80">
        <w:rPr>
          <w:rFonts w:ascii="Aptos" w:eastAsia="Aptos" w:hAnsi="Aptos" w:cs="Aptos"/>
          <w:szCs w:val="28"/>
          <w:lang w:val="en-GB" w:eastAsia="zh-CN" w:bidi="th-TH"/>
        </w:rPr>
        <w:t xml:space="preserve"> et al. 2019; </w:t>
      </w:r>
      <w:r w:rsidR="005B4F27">
        <w:rPr>
          <w:rFonts w:ascii="Aptos" w:eastAsia="Aptos" w:hAnsi="Aptos" w:cs="Aptos"/>
          <w:szCs w:val="28"/>
          <w:lang w:val="en-GB" w:eastAsia="zh-CN" w:bidi="th-TH"/>
        </w:rPr>
        <w:t>Woodward 1997</w:t>
      </w:r>
      <w:r w:rsidR="00F140F0">
        <w:rPr>
          <w:rFonts w:ascii="Aptos" w:eastAsia="Aptos" w:hAnsi="Aptos" w:cs="Aptos"/>
          <w:lang w:val="en-GB" w:eastAsia="zh-CN" w:bidi="th-TH"/>
        </w:rPr>
        <w:t>).</w:t>
      </w:r>
      <w:r w:rsidR="007A42EB">
        <w:rPr>
          <w:rFonts w:ascii="Aptos" w:eastAsia="Aptos" w:hAnsi="Aptos" w:cs="Aptos"/>
          <w:lang w:val="en-GB" w:eastAsia="zh-CN" w:bidi="th-TH"/>
        </w:rPr>
        <w:t xml:space="preserve"> </w:t>
      </w:r>
      <w:r w:rsidRPr="3E37A2A0">
        <w:rPr>
          <w:rFonts w:ascii="Aptos" w:eastAsia="Aptos" w:hAnsi="Aptos" w:cs="Aptos"/>
          <w:lang w:val="en-GB" w:eastAsia="zh-CN" w:bidi="th-TH"/>
        </w:rPr>
        <w:t>Mis</w:t>
      </w:r>
      <w:r w:rsidR="00EA5229">
        <w:rPr>
          <w:rFonts w:ascii="Aptos" w:eastAsia="Aptos" w:hAnsi="Aptos" w:cs="Aptos"/>
          <w:lang w:val="en-GB" w:eastAsia="zh-CN" w:bidi="th-TH"/>
        </w:rPr>
        <w:t>-</w:t>
      </w:r>
      <w:r w:rsidR="5F88CCD3" w:rsidRPr="3E37A2A0">
        <w:rPr>
          <w:rFonts w:ascii="Aptos" w:eastAsia="Aptos" w:hAnsi="Aptos" w:cs="Aptos"/>
          <w:lang w:val="en-GB" w:eastAsia="zh-CN" w:bidi="th-TH"/>
        </w:rPr>
        <w:t xml:space="preserve"> and </w:t>
      </w:r>
      <w:r w:rsidRPr="3E37A2A0">
        <w:rPr>
          <w:rFonts w:ascii="Aptos" w:eastAsia="Aptos" w:hAnsi="Aptos" w:cs="Aptos"/>
          <w:lang w:val="en-GB" w:eastAsia="zh-CN" w:bidi="th-TH"/>
        </w:rPr>
        <w:t>disinformation can amplify social identities that feature mistrust and experiences of isolation and inequality, reinforcing ‘me/us versus them’ narratives</w:t>
      </w:r>
      <w:r w:rsidR="00F140F0">
        <w:rPr>
          <w:rFonts w:ascii="Aptos" w:eastAsia="Aptos" w:hAnsi="Aptos" w:cs="Aptos"/>
          <w:lang w:val="en-GB" w:eastAsia="zh-CN" w:bidi="th-TH"/>
        </w:rPr>
        <w:t xml:space="preserve"> (</w:t>
      </w:r>
      <w:r w:rsidR="005B4F27" w:rsidRPr="00CE6B92">
        <w:rPr>
          <w:rFonts w:ascii="Aptos" w:eastAsia="Aptos" w:hAnsi="Aptos" w:cs="Aptos"/>
          <w:szCs w:val="28"/>
          <w:lang w:val="en-GB" w:eastAsia="zh-CN" w:bidi="th-TH"/>
        </w:rPr>
        <w:t>Nera</w:t>
      </w:r>
      <w:r w:rsidR="005B4F27">
        <w:rPr>
          <w:rFonts w:ascii="Aptos" w:eastAsia="Aptos" w:hAnsi="Aptos" w:cs="Aptos"/>
          <w:szCs w:val="28"/>
          <w:lang w:val="en-GB" w:eastAsia="zh-CN" w:bidi="th-TH"/>
        </w:rPr>
        <w:t xml:space="preserve"> et al. 2022</w:t>
      </w:r>
      <w:r w:rsidR="00F140F0">
        <w:rPr>
          <w:rFonts w:ascii="Aptos" w:eastAsia="Aptos" w:hAnsi="Aptos" w:cs="Aptos"/>
          <w:lang w:val="en-GB" w:eastAsia="zh-CN" w:bidi="th-TH"/>
        </w:rPr>
        <w:t>).</w:t>
      </w:r>
    </w:p>
    <w:p w14:paraId="34731B82" w14:textId="06D7F63F" w:rsidR="00CE6B92" w:rsidRPr="00CE6B92" w:rsidRDefault="00CE6B92" w:rsidP="001B7F4E">
      <w:pPr>
        <w:rPr>
          <w:rFonts w:ascii="Aptos" w:eastAsia="Aptos" w:hAnsi="Aptos" w:cs="Aptos"/>
          <w:highlight w:val="white"/>
          <w:lang w:val="en-GB" w:eastAsia="zh-CN" w:bidi="th-TH"/>
        </w:rPr>
      </w:pPr>
      <w:r w:rsidRPr="00CE6B92">
        <w:rPr>
          <w:rFonts w:ascii="Aptos" w:eastAsia="Aptos" w:hAnsi="Aptos" w:cs="Aptos"/>
          <w:highlight w:val="white"/>
          <w:lang w:val="en-GB" w:eastAsia="zh-CN" w:bidi="th-TH"/>
        </w:rPr>
        <w:t xml:space="preserve">Particularly relevant to this report is the role of social capital – the networks that make up society and the </w:t>
      </w:r>
      <w:r w:rsidRPr="00CE6B92">
        <w:rPr>
          <w:rFonts w:ascii="Aptos" w:eastAsia="Aptos" w:hAnsi="Aptos" w:cs="Aptos"/>
          <w:lang w:val="en-GB" w:eastAsia="zh-CN" w:bidi="th-TH"/>
        </w:rPr>
        <w:t>mutual sense of reciprocity and trust they produce</w:t>
      </w:r>
      <w:r w:rsidRPr="00CE6B92">
        <w:rPr>
          <w:rFonts w:ascii="Aptos" w:eastAsia="Aptos" w:hAnsi="Aptos" w:cs="Aptos"/>
          <w:highlight w:val="white"/>
          <w:lang w:val="en-GB" w:eastAsia="zh-CN" w:bidi="th-TH"/>
        </w:rPr>
        <w:t xml:space="preserve">. The literature identifies </w:t>
      </w:r>
      <w:r w:rsidR="002B6EDD">
        <w:rPr>
          <w:rFonts w:ascii="Aptos" w:eastAsia="Aptos" w:hAnsi="Aptos" w:cs="Aptos"/>
          <w:highlight w:val="white"/>
          <w:lang w:val="en-GB" w:eastAsia="zh-CN" w:bidi="th-TH"/>
        </w:rPr>
        <w:t>3</w:t>
      </w:r>
      <w:r w:rsidRPr="00CE6B92">
        <w:rPr>
          <w:rFonts w:ascii="Aptos" w:eastAsia="Aptos" w:hAnsi="Aptos" w:cs="Aptos"/>
          <w:highlight w:val="white"/>
          <w:lang w:val="en-GB" w:eastAsia="zh-CN" w:bidi="th-TH"/>
        </w:rPr>
        <w:t xml:space="preserve"> types of social ties </w:t>
      </w:r>
      <w:r w:rsidRPr="00CE6B92">
        <w:rPr>
          <w:rFonts w:ascii="Aptos" w:eastAsia="Aptos" w:hAnsi="Aptos" w:cs="Aptos"/>
          <w:lang w:val="en-GB" w:eastAsia="zh-CN" w:bidi="th-TH"/>
        </w:rPr>
        <w:t>that produce social capital for individuals, communities and institutions:</w:t>
      </w:r>
    </w:p>
    <w:p w14:paraId="3EF3148E" w14:textId="6D0D7B39" w:rsidR="00CE6B92" w:rsidRPr="00CE6B92" w:rsidRDefault="000D0014" w:rsidP="00590BA3">
      <w:pPr>
        <w:pStyle w:val="ListParagraph"/>
        <w:rPr>
          <w:highlight w:val="white"/>
          <w:lang w:val="en-GB" w:eastAsia="zh-CN" w:bidi="th-TH"/>
        </w:rPr>
      </w:pPr>
      <w:r>
        <w:rPr>
          <w:highlight w:val="white"/>
          <w:lang w:val="en-GB" w:eastAsia="zh-CN" w:bidi="th-TH"/>
        </w:rPr>
        <w:t>b</w:t>
      </w:r>
      <w:r w:rsidR="00CE6B92" w:rsidRPr="00CE6B92">
        <w:rPr>
          <w:highlight w:val="white"/>
          <w:lang w:val="en-GB" w:eastAsia="zh-CN" w:bidi="th-TH"/>
        </w:rPr>
        <w:t>onding connects people who are similar and emotionally close (e.g. family, friends) and provide intimate personal support</w:t>
      </w:r>
    </w:p>
    <w:p w14:paraId="0E686C9F" w14:textId="7A2BD0AF" w:rsidR="00CE6B92" w:rsidRPr="00CE6B92" w:rsidRDefault="000D0014" w:rsidP="00590BA3">
      <w:pPr>
        <w:pStyle w:val="ListParagraph"/>
        <w:rPr>
          <w:lang w:val="en-GB" w:eastAsia="zh-CN" w:bidi="th-TH"/>
        </w:rPr>
      </w:pPr>
      <w:r>
        <w:rPr>
          <w:highlight w:val="white"/>
          <w:lang w:val="en-GB" w:eastAsia="zh-CN" w:bidi="th-TH"/>
        </w:rPr>
        <w:t>b</w:t>
      </w:r>
      <w:r w:rsidR="00CE6B92" w:rsidRPr="00CE6B92">
        <w:rPr>
          <w:highlight w:val="white"/>
          <w:lang w:val="en-GB" w:eastAsia="zh-CN" w:bidi="th-TH"/>
        </w:rPr>
        <w:t>ridging describes loose connections that span social groups, such as class, race or locality</w:t>
      </w:r>
    </w:p>
    <w:p w14:paraId="65C0C45B" w14:textId="3225BE97" w:rsidR="007A42EB" w:rsidRPr="007A42EB" w:rsidRDefault="000D0014">
      <w:pPr>
        <w:pStyle w:val="ListParagraph"/>
        <w:rPr>
          <w:b/>
          <w:bCs/>
          <w:lang w:val="en-GB" w:eastAsia="zh-CN" w:bidi="th-TH"/>
        </w:rPr>
      </w:pPr>
      <w:r>
        <w:rPr>
          <w:highlight w:val="white"/>
          <w:lang w:val="en-GB" w:eastAsia="zh-CN" w:bidi="th-TH"/>
        </w:rPr>
        <w:t>l</w:t>
      </w:r>
      <w:r w:rsidR="00CE6B92" w:rsidRPr="007A42EB">
        <w:rPr>
          <w:highlight w:val="white"/>
          <w:lang w:val="en-GB" w:eastAsia="zh-CN" w:bidi="th-TH"/>
        </w:rPr>
        <w:t>inking connects the public with those in power or those representing institutions of power, authority and official information</w:t>
      </w:r>
      <w:r w:rsidR="00F140F0" w:rsidRPr="007A42EB">
        <w:rPr>
          <w:highlight w:val="white"/>
          <w:lang w:val="en-GB" w:eastAsia="zh-CN" w:bidi="th-TH"/>
        </w:rPr>
        <w:t xml:space="preserve"> (</w:t>
      </w:r>
      <w:r w:rsidR="009B1D22" w:rsidRPr="007A42EB">
        <w:rPr>
          <w:rFonts w:ascii="Aptos" w:eastAsia="Aptos" w:hAnsi="Aptos" w:cs="Aptos"/>
          <w:szCs w:val="28"/>
          <w:lang w:val="en-GB" w:eastAsia="zh-CN" w:bidi="th-TH"/>
        </w:rPr>
        <w:t>Putnam 2016</w:t>
      </w:r>
      <w:r w:rsidR="00F140F0" w:rsidRPr="007A42EB">
        <w:rPr>
          <w:highlight w:val="white"/>
          <w:lang w:val="en-GB" w:eastAsia="zh-CN" w:bidi="th-TH"/>
        </w:rPr>
        <w:t>).</w:t>
      </w:r>
    </w:p>
    <w:p w14:paraId="173E9FD6" w14:textId="77777777" w:rsidR="007A42EB" w:rsidRDefault="00CE6B92" w:rsidP="001B7F4E">
      <w:pPr>
        <w:rPr>
          <w:lang w:val="en-GB" w:eastAsia="zh-CN" w:bidi="th-TH"/>
        </w:rPr>
      </w:pPr>
      <w:r w:rsidRPr="007A42EB">
        <w:rPr>
          <w:lang w:val="en-GB" w:eastAsia="zh-CN" w:bidi="th-TH"/>
        </w:rPr>
        <w:t>Bridging ties are particularly important for building diverse connections across society, helping individuals understand and trust those outside immediate family and friendship circles</w:t>
      </w:r>
      <w:r w:rsidR="00F140F0" w:rsidRPr="007A42EB">
        <w:rPr>
          <w:lang w:val="en-GB" w:eastAsia="zh-CN" w:bidi="th-TH"/>
        </w:rPr>
        <w:t xml:space="preserve"> (</w:t>
      </w:r>
      <w:r w:rsidR="009B1D22" w:rsidRPr="007A42EB">
        <w:rPr>
          <w:lang w:val="en-GB" w:eastAsia="zh-CN" w:bidi="th-TH"/>
        </w:rPr>
        <w:t>Aldrich 2023</w:t>
      </w:r>
      <w:r w:rsidR="001D3FF5" w:rsidRPr="007A42EB">
        <w:rPr>
          <w:lang w:val="en-GB" w:eastAsia="zh-CN" w:bidi="th-TH"/>
        </w:rPr>
        <w:t>a</w:t>
      </w:r>
      <w:r w:rsidR="009B1D22" w:rsidRPr="007A42EB">
        <w:rPr>
          <w:lang w:val="en-GB" w:eastAsia="zh-CN" w:bidi="th-TH"/>
        </w:rPr>
        <w:t xml:space="preserve">; </w:t>
      </w:r>
      <w:r w:rsidR="009B1D22" w:rsidRPr="007A42EB">
        <w:rPr>
          <w:rFonts w:ascii="Aptos" w:eastAsia="Aptos" w:hAnsi="Aptos" w:cs="Aptos"/>
          <w:szCs w:val="28"/>
          <w:lang w:val="en-GB" w:eastAsia="zh-CN" w:bidi="th-TH"/>
        </w:rPr>
        <w:t>Aldrich and Meyer 2015</w:t>
      </w:r>
      <w:r w:rsidR="009B1D22" w:rsidRPr="007A42EB">
        <w:rPr>
          <w:lang w:val="en-GB" w:eastAsia="zh-CN" w:bidi="th-TH"/>
        </w:rPr>
        <w:t>;</w:t>
      </w:r>
      <w:r w:rsidR="004D5411" w:rsidRPr="007A42EB">
        <w:rPr>
          <w:lang w:val="en-GB" w:eastAsia="zh-CN" w:bidi="th-TH"/>
        </w:rPr>
        <w:t xml:space="preserve"> </w:t>
      </w:r>
      <w:r w:rsidR="009B1D22" w:rsidRPr="007A42EB">
        <w:rPr>
          <w:rFonts w:ascii="Aptos" w:eastAsia="Aptos" w:hAnsi="Aptos" w:cs="Aptos"/>
          <w:szCs w:val="28"/>
          <w:lang w:val="en-GB" w:eastAsia="zh-CN" w:bidi="th-TH"/>
        </w:rPr>
        <w:t>Putnam 2016</w:t>
      </w:r>
      <w:r w:rsidR="00F140F0" w:rsidRPr="007A42EB">
        <w:rPr>
          <w:lang w:val="en-GB" w:eastAsia="zh-CN" w:bidi="th-TH"/>
        </w:rPr>
        <w:t>).</w:t>
      </w:r>
    </w:p>
    <w:p w14:paraId="25C2BC55" w14:textId="77777777" w:rsidR="007A42EB" w:rsidRDefault="00CE6B92" w:rsidP="001B7F4E">
      <w:pPr>
        <w:rPr>
          <w:highlight w:val="white"/>
          <w:lang w:val="en-GB" w:eastAsia="zh-CN" w:bidi="th-TH"/>
        </w:rPr>
      </w:pPr>
      <w:r w:rsidRPr="26A7AE4A">
        <w:rPr>
          <w:highlight w:val="white"/>
          <w:lang w:val="en-GB" w:eastAsia="zh-CN" w:bidi="th-TH"/>
        </w:rPr>
        <w:t>Civic engagement involves the mechanisms and processes through which people learn about and participate in public life, including volunteering, voting in elections, membership of political, sporting and cultural groups and participating in community events. Civic engagement provides opportunities to build linking and bridging ties</w:t>
      </w:r>
      <w:r w:rsidR="001A7C61">
        <w:rPr>
          <w:highlight w:val="white"/>
          <w:lang w:val="en-GB" w:eastAsia="zh-CN" w:bidi="th-TH"/>
        </w:rPr>
        <w:t xml:space="preserve"> </w:t>
      </w:r>
      <w:r w:rsidR="001A7C61">
        <w:rPr>
          <w:lang w:val="en-GB" w:eastAsia="zh-CN" w:bidi="th-TH"/>
        </w:rPr>
        <w:t>(Aldrich 2023</w:t>
      </w:r>
      <w:r w:rsidR="001D3FF5">
        <w:rPr>
          <w:lang w:val="en-GB" w:eastAsia="zh-CN" w:bidi="th-TH"/>
        </w:rPr>
        <w:t>a</w:t>
      </w:r>
      <w:r w:rsidR="001A7C61">
        <w:rPr>
          <w:lang w:val="en-GB" w:eastAsia="zh-CN" w:bidi="th-TH"/>
        </w:rPr>
        <w:t>)</w:t>
      </w:r>
      <w:r w:rsidRPr="26A7AE4A">
        <w:rPr>
          <w:highlight w:val="white"/>
          <w:lang w:val="en-GB" w:eastAsia="zh-CN" w:bidi="th-TH"/>
        </w:rPr>
        <w:t>,</w:t>
      </w:r>
      <w:r w:rsidR="007A42EB">
        <w:rPr>
          <w:highlight w:val="white"/>
          <w:lang w:val="en-GB" w:eastAsia="zh-CN" w:bidi="th-TH"/>
        </w:rPr>
        <w:t xml:space="preserve"> </w:t>
      </w:r>
      <w:r w:rsidRPr="26A7AE4A">
        <w:rPr>
          <w:highlight w:val="white"/>
          <w:lang w:val="en-GB" w:eastAsia="zh-CN" w:bidi="th-TH"/>
        </w:rPr>
        <w:t>and it is consistently linked to high trust, social cohesion and democratic resilience</w:t>
      </w:r>
      <w:r w:rsidR="00F140F0">
        <w:rPr>
          <w:highlight w:val="white"/>
          <w:lang w:val="en-GB" w:eastAsia="zh-CN" w:bidi="th-TH"/>
        </w:rPr>
        <w:t xml:space="preserve"> (</w:t>
      </w:r>
      <w:r w:rsidR="001A7C61" w:rsidRPr="00CE6B92">
        <w:rPr>
          <w:rFonts w:ascii="Aptos" w:eastAsia="Aptos" w:hAnsi="Aptos" w:cs="Aptos"/>
          <w:szCs w:val="28"/>
          <w:lang w:val="en-GB" w:eastAsia="zh-CN" w:bidi="th-TH"/>
        </w:rPr>
        <w:t>Leigh and Terrell</w:t>
      </w:r>
      <w:r w:rsidR="001A7C61">
        <w:rPr>
          <w:rFonts w:ascii="Aptos" w:eastAsia="Aptos" w:hAnsi="Aptos" w:cs="Aptos"/>
          <w:szCs w:val="28"/>
          <w:lang w:val="en-GB" w:eastAsia="zh-CN" w:bidi="th-TH"/>
        </w:rPr>
        <w:t xml:space="preserve"> 2020; </w:t>
      </w:r>
      <w:r w:rsidR="001A7C61" w:rsidRPr="00CE6B92">
        <w:rPr>
          <w:rFonts w:ascii="Aptos" w:eastAsia="Aptos" w:hAnsi="Aptos" w:cs="Aptos"/>
          <w:szCs w:val="28"/>
          <w:lang w:val="en-GB" w:eastAsia="zh-CN" w:bidi="th-TH"/>
        </w:rPr>
        <w:t>Evans</w:t>
      </w:r>
      <w:r w:rsidR="001A7C61">
        <w:rPr>
          <w:rFonts w:ascii="Aptos" w:eastAsia="Aptos" w:hAnsi="Aptos" w:cs="Aptos"/>
          <w:szCs w:val="28"/>
          <w:lang w:val="en-GB" w:eastAsia="zh-CN" w:bidi="th-TH"/>
        </w:rPr>
        <w:t xml:space="preserve"> et al. </w:t>
      </w:r>
      <w:r w:rsidR="00D438F2">
        <w:rPr>
          <w:rFonts w:ascii="Aptos" w:eastAsia="Aptos" w:hAnsi="Aptos" w:cs="Aptos"/>
          <w:szCs w:val="28"/>
          <w:lang w:val="en-GB" w:eastAsia="zh-CN" w:bidi="th-TH"/>
        </w:rPr>
        <w:t>202</w:t>
      </w:r>
      <w:r w:rsidR="008121B7">
        <w:rPr>
          <w:rFonts w:ascii="Aptos" w:eastAsia="Aptos" w:hAnsi="Aptos" w:cs="Aptos"/>
          <w:szCs w:val="28"/>
          <w:lang w:val="en-GB" w:eastAsia="zh-CN" w:bidi="th-TH"/>
        </w:rPr>
        <w:t>4</w:t>
      </w:r>
      <w:r w:rsidR="00B533D7">
        <w:rPr>
          <w:rFonts w:ascii="Aptos" w:eastAsia="Aptos" w:hAnsi="Aptos" w:cs="Aptos"/>
          <w:szCs w:val="28"/>
          <w:lang w:val="en-GB" w:eastAsia="zh-CN" w:bidi="th-TH"/>
        </w:rPr>
        <w:t xml:space="preserve">; </w:t>
      </w:r>
      <w:r w:rsidR="00B533D7" w:rsidRPr="00CE6B92">
        <w:rPr>
          <w:rFonts w:ascii="Aptos" w:eastAsia="Aptos" w:hAnsi="Aptos" w:cs="Aptos"/>
          <w:szCs w:val="28"/>
          <w:lang w:val="en-GB" w:eastAsia="zh-CN" w:bidi="th-TH"/>
        </w:rPr>
        <w:t>O’Donnell</w:t>
      </w:r>
      <w:r w:rsidR="00B533D7">
        <w:rPr>
          <w:rFonts w:ascii="Aptos" w:eastAsia="Aptos" w:hAnsi="Aptos" w:cs="Aptos"/>
          <w:szCs w:val="28"/>
          <w:lang w:val="en-GB" w:eastAsia="zh-CN" w:bidi="th-TH"/>
        </w:rPr>
        <w:t xml:space="preserve"> et al. </w:t>
      </w:r>
      <w:r w:rsidR="00FD3B8B">
        <w:rPr>
          <w:rFonts w:ascii="Aptos" w:eastAsia="Aptos" w:hAnsi="Aptos" w:cs="Aptos"/>
          <w:szCs w:val="28"/>
          <w:lang w:val="en-GB" w:eastAsia="zh-CN" w:bidi="th-TH"/>
        </w:rPr>
        <w:t xml:space="preserve">2024; </w:t>
      </w:r>
      <w:r w:rsidR="00FD3B8B" w:rsidRPr="00CE6B92">
        <w:rPr>
          <w:rFonts w:ascii="Aptos" w:eastAsia="Aptos" w:hAnsi="Aptos" w:cs="Aptos"/>
          <w:szCs w:val="28"/>
          <w:lang w:val="en-GB" w:eastAsia="zh-CN" w:bidi="th-TH"/>
        </w:rPr>
        <w:t>Strengthening Democracy Taskforce 2024</w:t>
      </w:r>
      <w:r w:rsidR="00F140F0">
        <w:rPr>
          <w:highlight w:val="white"/>
          <w:lang w:val="en-GB" w:eastAsia="zh-CN" w:bidi="th-TH"/>
        </w:rPr>
        <w:t>).</w:t>
      </w:r>
    </w:p>
    <w:p w14:paraId="68B0E9B5" w14:textId="45A0FD81" w:rsidR="007A42EB" w:rsidRDefault="00CE6B92" w:rsidP="001B7F4E">
      <w:pPr>
        <w:rPr>
          <w:lang w:val="en-GB" w:eastAsia="zh-CN" w:bidi="th-TH"/>
        </w:rPr>
      </w:pPr>
      <w:r w:rsidRPr="26A7AE4A">
        <w:rPr>
          <w:highlight w:val="white"/>
          <w:lang w:val="en-GB" w:eastAsia="zh-CN" w:bidi="th-TH"/>
        </w:rPr>
        <w:t xml:space="preserve">The annual Mapping Social Cohesion survey finds that participation in public life can help people better understand and feel a sense of agency in democratic processes, </w:t>
      </w:r>
      <w:r w:rsidRPr="26A7AE4A">
        <w:rPr>
          <w:highlight w:val="white"/>
          <w:lang w:val="en-GB" w:eastAsia="zh-CN" w:bidi="th-TH"/>
        </w:rPr>
        <w:lastRenderedPageBreak/>
        <w:t>thereby making them more likely to trust these institutions</w:t>
      </w:r>
      <w:r w:rsidR="00F140F0">
        <w:rPr>
          <w:lang w:val="en-GB" w:eastAsia="zh-CN" w:bidi="th-TH"/>
        </w:rPr>
        <w:t xml:space="preserve"> (</w:t>
      </w:r>
      <w:r w:rsidR="00FD3B8B" w:rsidRPr="00CE6B92">
        <w:rPr>
          <w:rFonts w:ascii="Aptos" w:eastAsia="Aptos" w:hAnsi="Aptos" w:cs="Aptos"/>
          <w:szCs w:val="28"/>
          <w:lang w:val="en-GB" w:eastAsia="zh-CN" w:bidi="th-TH"/>
        </w:rPr>
        <w:t>O’Donnell</w:t>
      </w:r>
      <w:r w:rsidR="00FD3B8B">
        <w:rPr>
          <w:rFonts w:ascii="Aptos" w:eastAsia="Aptos" w:hAnsi="Aptos" w:cs="Aptos"/>
          <w:szCs w:val="28"/>
          <w:lang w:val="en-GB" w:eastAsia="zh-CN" w:bidi="th-TH"/>
        </w:rPr>
        <w:t xml:space="preserve"> et al. 2024</w:t>
      </w:r>
      <w:r w:rsidR="00F140F0">
        <w:rPr>
          <w:lang w:val="en-GB" w:eastAsia="zh-CN" w:bidi="th-TH"/>
        </w:rPr>
        <w:t>).</w:t>
      </w:r>
      <w:r w:rsidR="007A42EB">
        <w:rPr>
          <w:lang w:val="en-GB" w:eastAsia="zh-CN" w:bidi="th-TH"/>
        </w:rPr>
        <w:t xml:space="preserve"> </w:t>
      </w:r>
      <w:r w:rsidRPr="26A7AE4A">
        <w:rPr>
          <w:lang w:val="en-GB" w:eastAsia="zh-CN" w:bidi="th-TH"/>
        </w:rPr>
        <w:t>By</w:t>
      </w:r>
      <w:r w:rsidR="008702A4">
        <w:rPr>
          <w:lang w:val="en-GB" w:eastAsia="zh-CN" w:bidi="th-TH"/>
        </w:rPr>
        <w:t> </w:t>
      </w:r>
      <w:r w:rsidRPr="26A7AE4A">
        <w:rPr>
          <w:lang w:val="en-GB" w:eastAsia="zh-CN" w:bidi="th-TH"/>
        </w:rPr>
        <w:t xml:space="preserve">encouraging bridging and linking ties and facilitating </w:t>
      </w:r>
      <w:r w:rsidR="64C87F56" w:rsidRPr="26A7AE4A">
        <w:rPr>
          <w:lang w:val="en-GB" w:eastAsia="zh-CN" w:bidi="th-TH"/>
        </w:rPr>
        <w:t>‘</w:t>
      </w:r>
      <w:r w:rsidRPr="26A7AE4A">
        <w:rPr>
          <w:lang w:val="en-GB" w:eastAsia="zh-CN" w:bidi="th-TH"/>
        </w:rPr>
        <w:t>the formation of shared identities, alliances, solidarities, and connections across difference</w:t>
      </w:r>
      <w:r w:rsidR="52C39BA1" w:rsidRPr="26A7AE4A">
        <w:rPr>
          <w:lang w:val="en-GB" w:eastAsia="zh-CN" w:bidi="th-TH"/>
        </w:rPr>
        <w:t>’</w:t>
      </w:r>
      <w:r w:rsidR="00FD3B8B">
        <w:rPr>
          <w:lang w:val="en-GB" w:eastAsia="zh-CN" w:bidi="th-TH"/>
        </w:rPr>
        <w:t xml:space="preserve"> (Evans 2021)</w:t>
      </w:r>
      <w:r w:rsidR="007A42EB">
        <w:rPr>
          <w:lang w:val="en-GB" w:eastAsia="zh-CN" w:bidi="th-TH"/>
        </w:rPr>
        <w:t xml:space="preserve"> </w:t>
      </w:r>
      <w:r w:rsidRPr="26A7AE4A">
        <w:rPr>
          <w:lang w:val="en-GB" w:eastAsia="zh-CN" w:bidi="th-TH"/>
        </w:rPr>
        <w:t>civic engagement also provides a forum to foster social identities grounded in inclusion, respectful deliberation and collective decision</w:t>
      </w:r>
      <w:r w:rsidR="001404FB">
        <w:rPr>
          <w:lang w:val="en-GB" w:eastAsia="zh-CN" w:bidi="th-TH"/>
        </w:rPr>
        <w:noBreakHyphen/>
      </w:r>
      <w:r w:rsidRPr="26A7AE4A">
        <w:rPr>
          <w:lang w:val="en-GB" w:eastAsia="zh-CN" w:bidi="th-TH"/>
        </w:rPr>
        <w:t>making</w:t>
      </w:r>
      <w:r w:rsidR="00F140F0">
        <w:rPr>
          <w:lang w:val="en-GB" w:eastAsia="zh-CN" w:bidi="th-TH"/>
        </w:rPr>
        <w:t xml:space="preserve"> (</w:t>
      </w:r>
      <w:r w:rsidR="00FD3B8B" w:rsidRPr="00CE6B92">
        <w:rPr>
          <w:rFonts w:ascii="Aptos" w:eastAsia="Aptos" w:hAnsi="Aptos" w:cs="Aptos"/>
          <w:szCs w:val="28"/>
          <w:lang w:val="en-GB" w:eastAsia="zh-CN" w:bidi="th-TH"/>
        </w:rPr>
        <w:t>Barrett and Cocq</w:t>
      </w:r>
      <w:r w:rsidR="00FD3B8B">
        <w:rPr>
          <w:rFonts w:ascii="Aptos" w:eastAsia="Aptos" w:hAnsi="Aptos" w:cs="Aptos"/>
          <w:szCs w:val="28"/>
          <w:lang w:val="en-GB" w:eastAsia="zh-CN" w:bidi="th-TH"/>
        </w:rPr>
        <w:t xml:space="preserve"> 2019; </w:t>
      </w:r>
      <w:r w:rsidR="009759C5" w:rsidRPr="00CE6B92">
        <w:rPr>
          <w:rFonts w:ascii="Aptos" w:eastAsia="Aptos" w:hAnsi="Aptos" w:cs="Aptos"/>
          <w:szCs w:val="28"/>
          <w:lang w:val="en-GB" w:eastAsia="zh-CN" w:bidi="th-TH"/>
        </w:rPr>
        <w:t>Moore</w:t>
      </w:r>
      <w:r w:rsidR="008702A4">
        <w:rPr>
          <w:rFonts w:ascii="Aptos" w:eastAsia="Aptos" w:hAnsi="Aptos" w:cs="Aptos"/>
          <w:szCs w:val="28"/>
          <w:lang w:val="en-GB" w:eastAsia="zh-CN" w:bidi="th-TH"/>
        </w:rPr>
        <w:noBreakHyphen/>
      </w:r>
      <w:r w:rsidR="009759C5" w:rsidRPr="00CE6B92">
        <w:rPr>
          <w:rFonts w:ascii="Aptos" w:eastAsia="Aptos" w:hAnsi="Aptos" w:cs="Aptos"/>
          <w:szCs w:val="28"/>
          <w:lang w:val="en-GB" w:eastAsia="zh-CN" w:bidi="th-TH"/>
        </w:rPr>
        <w:t>Vissing and Mallory 2020</w:t>
      </w:r>
      <w:r w:rsidR="009759C5">
        <w:rPr>
          <w:rFonts w:ascii="Aptos" w:eastAsia="Aptos" w:hAnsi="Aptos" w:cs="Aptos"/>
          <w:szCs w:val="28"/>
          <w:lang w:val="en-GB" w:eastAsia="zh-CN" w:bidi="th-TH"/>
        </w:rPr>
        <w:t xml:space="preserve">; </w:t>
      </w:r>
      <w:r w:rsidR="009759C5" w:rsidRPr="00CE6B92">
        <w:rPr>
          <w:rFonts w:ascii="Aptos" w:eastAsia="Aptos" w:hAnsi="Aptos" w:cs="Aptos"/>
          <w:szCs w:val="28"/>
          <w:lang w:val="en-GB" w:eastAsia="zh-CN" w:bidi="th-TH"/>
        </w:rPr>
        <w:t>Rupar</w:t>
      </w:r>
      <w:r w:rsidR="009759C5">
        <w:rPr>
          <w:rFonts w:ascii="Aptos" w:eastAsia="Aptos" w:hAnsi="Aptos" w:cs="Aptos"/>
          <w:szCs w:val="28"/>
          <w:lang w:val="en-GB" w:eastAsia="zh-CN" w:bidi="th-TH"/>
        </w:rPr>
        <w:t xml:space="preserve"> et al. </w:t>
      </w:r>
      <w:r w:rsidR="005D7B2E">
        <w:rPr>
          <w:rFonts w:ascii="Aptos" w:eastAsia="Aptos" w:hAnsi="Aptos" w:cs="Aptos"/>
          <w:szCs w:val="28"/>
          <w:lang w:val="en-GB" w:eastAsia="zh-CN" w:bidi="th-TH"/>
        </w:rPr>
        <w:t>2021</w:t>
      </w:r>
      <w:r w:rsidR="00F140F0">
        <w:rPr>
          <w:lang w:val="en-GB" w:eastAsia="zh-CN" w:bidi="th-TH"/>
        </w:rPr>
        <w:t>).</w:t>
      </w:r>
    </w:p>
    <w:p w14:paraId="4E423225" w14:textId="7965A4BC" w:rsidR="007A42EB" w:rsidRDefault="00CE6B92" w:rsidP="001B7F4E">
      <w:pPr>
        <w:rPr>
          <w:lang w:val="en-GB" w:eastAsia="zh-CN" w:bidi="th-TH"/>
        </w:rPr>
      </w:pPr>
      <w:r w:rsidRPr="00CE6B92">
        <w:rPr>
          <w:lang w:val="en-GB" w:eastAsia="zh-CN" w:bidi="th-TH"/>
        </w:rPr>
        <w:t>In Australia, there has been a long</w:t>
      </w:r>
      <w:r w:rsidR="001404FB">
        <w:rPr>
          <w:lang w:val="en-GB" w:eastAsia="zh-CN" w:bidi="th-TH"/>
        </w:rPr>
        <w:noBreakHyphen/>
      </w:r>
      <w:r w:rsidRPr="00CE6B92">
        <w:rPr>
          <w:lang w:val="en-GB" w:eastAsia="zh-CN" w:bidi="th-TH"/>
        </w:rPr>
        <w:t>term decline in volunteering and civic and political membership</w:t>
      </w:r>
      <w:r w:rsidR="00F140F0">
        <w:rPr>
          <w:lang w:val="en-GB" w:eastAsia="zh-CN" w:bidi="th-TH"/>
        </w:rPr>
        <w:t xml:space="preserve"> (</w:t>
      </w:r>
      <w:r w:rsidR="005D7B2E" w:rsidRPr="00CE6B92">
        <w:rPr>
          <w:rFonts w:ascii="Aptos" w:eastAsia="Aptos" w:hAnsi="Aptos" w:cs="Aptos"/>
          <w:szCs w:val="28"/>
          <w:lang w:val="en-GB" w:eastAsia="zh-CN" w:bidi="th-TH"/>
        </w:rPr>
        <w:t>Biddle and Gray 2023</w:t>
      </w:r>
      <w:r w:rsidR="005D7B2E">
        <w:rPr>
          <w:rFonts w:ascii="Aptos" w:eastAsia="Aptos" w:hAnsi="Aptos" w:cs="Aptos"/>
          <w:szCs w:val="28"/>
          <w:lang w:val="en-GB" w:eastAsia="zh-CN" w:bidi="th-TH"/>
        </w:rPr>
        <w:t xml:space="preserve">; </w:t>
      </w:r>
      <w:r w:rsidR="005D7B2E" w:rsidRPr="00CE6B92">
        <w:rPr>
          <w:rFonts w:ascii="Aptos" w:eastAsia="Aptos" w:hAnsi="Aptos" w:cs="Aptos"/>
          <w:szCs w:val="28"/>
          <w:lang w:val="en-GB" w:eastAsia="zh-CN" w:bidi="th-TH"/>
        </w:rPr>
        <w:t>Leigh and Terrell 2020</w:t>
      </w:r>
      <w:r w:rsidR="005D7B2E">
        <w:rPr>
          <w:rFonts w:ascii="Aptos" w:eastAsia="Aptos" w:hAnsi="Aptos" w:cs="Aptos"/>
          <w:szCs w:val="28"/>
          <w:lang w:val="en-GB" w:eastAsia="zh-CN" w:bidi="th-TH"/>
        </w:rPr>
        <w:t xml:space="preserve">; </w:t>
      </w:r>
      <w:r w:rsidR="005D7B2E" w:rsidRPr="00CE6B92">
        <w:rPr>
          <w:rFonts w:ascii="Aptos" w:eastAsia="Aptos" w:hAnsi="Aptos" w:cs="Aptos"/>
          <w:szCs w:val="28"/>
          <w:lang w:val="en-GB" w:eastAsia="zh-CN" w:bidi="th-TH"/>
        </w:rPr>
        <w:t>Nicholas</w:t>
      </w:r>
      <w:r w:rsidR="005D7B2E">
        <w:rPr>
          <w:rFonts w:ascii="Aptos" w:eastAsia="Aptos" w:hAnsi="Aptos" w:cs="Aptos"/>
          <w:szCs w:val="28"/>
          <w:lang w:val="en-GB" w:eastAsia="zh-CN" w:bidi="th-TH"/>
        </w:rPr>
        <w:t xml:space="preserve"> 2023</w:t>
      </w:r>
      <w:r w:rsidR="00F140F0">
        <w:rPr>
          <w:lang w:val="en-GB" w:eastAsia="zh-CN" w:bidi="th-TH"/>
        </w:rPr>
        <w:t>).</w:t>
      </w:r>
      <w:r w:rsidR="007A42EB">
        <w:rPr>
          <w:lang w:val="en-GB" w:eastAsia="zh-CN" w:bidi="th-TH"/>
        </w:rPr>
        <w:t xml:space="preserve"> </w:t>
      </w:r>
      <w:r w:rsidRPr="00CE6B92">
        <w:rPr>
          <w:lang w:val="en-GB" w:eastAsia="zh-CN" w:bidi="th-TH"/>
        </w:rPr>
        <w:t>Despite this, participation remains steady, with the proportion of Australians involved in a social, community, religious, civic or political groups</w:t>
      </w:r>
      <w:r w:rsidR="001404FB">
        <w:rPr>
          <w:lang w:val="en-GB" w:eastAsia="zh-CN" w:bidi="th-TH"/>
        </w:rPr>
        <w:t xml:space="preserve"> </w:t>
      </w:r>
      <w:r w:rsidRPr="00CE6B92">
        <w:rPr>
          <w:lang w:val="en-GB" w:eastAsia="zh-CN" w:bidi="th-TH"/>
        </w:rPr>
        <w:t>(between 54–57% of Mapping Social Cohesion survey respondents since 2021)</w:t>
      </w:r>
      <w:r w:rsidR="00F140F0">
        <w:rPr>
          <w:lang w:val="en-GB" w:eastAsia="zh-CN" w:bidi="th-TH"/>
        </w:rPr>
        <w:t xml:space="preserve"> (</w:t>
      </w:r>
      <w:r w:rsidR="00C172F8" w:rsidRPr="00CE6B92">
        <w:rPr>
          <w:rFonts w:ascii="Aptos" w:eastAsia="Aptos" w:hAnsi="Aptos" w:cs="Aptos"/>
          <w:szCs w:val="28"/>
          <w:lang w:val="en-GB" w:eastAsia="zh-CN" w:bidi="th-TH"/>
        </w:rPr>
        <w:t>O’Donnell</w:t>
      </w:r>
      <w:r w:rsidR="00C172F8">
        <w:rPr>
          <w:rFonts w:ascii="Aptos" w:eastAsia="Aptos" w:hAnsi="Aptos" w:cs="Aptos"/>
          <w:szCs w:val="28"/>
          <w:lang w:val="en-GB" w:eastAsia="zh-CN" w:bidi="th-TH"/>
        </w:rPr>
        <w:t xml:space="preserve"> </w:t>
      </w:r>
      <w:r w:rsidR="00F561D8">
        <w:rPr>
          <w:rFonts w:ascii="Aptos" w:eastAsia="Aptos" w:hAnsi="Aptos" w:cs="Aptos"/>
          <w:szCs w:val="28"/>
          <w:lang w:val="en-GB" w:eastAsia="zh-CN" w:bidi="th-TH"/>
        </w:rPr>
        <w:t xml:space="preserve">et al. </w:t>
      </w:r>
      <w:r w:rsidR="00C172F8">
        <w:rPr>
          <w:rFonts w:ascii="Aptos" w:eastAsia="Aptos" w:hAnsi="Aptos" w:cs="Aptos"/>
          <w:szCs w:val="28"/>
          <w:lang w:val="en-GB" w:eastAsia="zh-CN" w:bidi="th-TH"/>
        </w:rPr>
        <w:t>2024</w:t>
      </w:r>
      <w:r w:rsidR="00F140F0">
        <w:rPr>
          <w:lang w:val="en-GB" w:eastAsia="zh-CN" w:bidi="th-TH"/>
        </w:rPr>
        <w:t>).</w:t>
      </w:r>
      <w:r w:rsidR="007A42EB">
        <w:rPr>
          <w:lang w:val="en-GB" w:eastAsia="zh-CN" w:bidi="th-TH"/>
        </w:rPr>
        <w:t xml:space="preserve"> </w:t>
      </w:r>
      <w:r w:rsidRPr="00CE6B92">
        <w:rPr>
          <w:lang w:val="en-GB" w:eastAsia="zh-CN" w:bidi="th-TH"/>
        </w:rPr>
        <w:t>Australia’s culture of civic engagement has been characterised as an asset – albeit one requiring further attention – with capacity to support more cohesive, resilient communities</w:t>
      </w:r>
      <w:r w:rsidR="00F140F0">
        <w:rPr>
          <w:lang w:val="en-GB" w:eastAsia="zh-CN" w:bidi="th-TH"/>
        </w:rPr>
        <w:t xml:space="preserve"> (</w:t>
      </w:r>
      <w:r w:rsidR="001D3FF5" w:rsidRPr="00CE6B92">
        <w:rPr>
          <w:rFonts w:ascii="Aptos" w:eastAsia="Aptos" w:hAnsi="Aptos" w:cs="Aptos"/>
          <w:szCs w:val="28"/>
          <w:lang w:val="en-GB" w:eastAsia="zh-CN" w:bidi="th-TH"/>
        </w:rPr>
        <w:t>Leigh</w:t>
      </w:r>
      <w:r w:rsidR="008702A4">
        <w:rPr>
          <w:rFonts w:ascii="Aptos" w:eastAsia="Aptos" w:hAnsi="Aptos" w:cs="Aptos"/>
          <w:szCs w:val="28"/>
          <w:lang w:val="en-GB" w:eastAsia="zh-CN" w:bidi="th-TH"/>
        </w:rPr>
        <w:t> </w:t>
      </w:r>
      <w:r w:rsidR="001D3FF5" w:rsidRPr="00CE6B92">
        <w:rPr>
          <w:rFonts w:ascii="Aptos" w:eastAsia="Aptos" w:hAnsi="Aptos" w:cs="Aptos"/>
          <w:szCs w:val="28"/>
          <w:lang w:val="en-GB" w:eastAsia="zh-CN" w:bidi="th-TH"/>
        </w:rPr>
        <w:t>and Terrell 2020</w:t>
      </w:r>
      <w:r w:rsidR="001D3FF5">
        <w:rPr>
          <w:lang w:val="en-GB" w:eastAsia="zh-CN" w:bidi="th-TH"/>
        </w:rPr>
        <w:t xml:space="preserve">; </w:t>
      </w:r>
      <w:r w:rsidR="001D3FF5" w:rsidRPr="00CE6B92">
        <w:rPr>
          <w:rFonts w:ascii="Aptos" w:eastAsia="Aptos" w:hAnsi="Aptos" w:cs="Aptos"/>
          <w:szCs w:val="28"/>
          <w:lang w:val="en-GB" w:eastAsia="zh-CN" w:bidi="th-TH"/>
        </w:rPr>
        <w:t>O’Donnell</w:t>
      </w:r>
      <w:r w:rsidR="0096612F">
        <w:rPr>
          <w:rFonts w:ascii="Aptos" w:eastAsia="Aptos" w:hAnsi="Aptos" w:cs="Aptos"/>
          <w:szCs w:val="28"/>
          <w:lang w:val="en-GB" w:eastAsia="zh-CN" w:bidi="th-TH"/>
        </w:rPr>
        <w:t xml:space="preserve"> et al.</w:t>
      </w:r>
      <w:r w:rsidR="001D3FF5">
        <w:rPr>
          <w:rFonts w:ascii="Aptos" w:eastAsia="Aptos" w:hAnsi="Aptos" w:cs="Aptos"/>
          <w:szCs w:val="28"/>
          <w:lang w:val="en-GB" w:eastAsia="zh-CN" w:bidi="th-TH"/>
        </w:rPr>
        <w:t xml:space="preserve"> 2024; </w:t>
      </w:r>
      <w:r w:rsidR="001D3FF5" w:rsidRPr="00CE6B92">
        <w:rPr>
          <w:rFonts w:ascii="Aptos" w:eastAsia="Aptos" w:hAnsi="Aptos" w:cs="Aptos"/>
          <w:szCs w:val="28"/>
          <w:lang w:val="en-GB" w:eastAsia="zh-CN" w:bidi="th-TH"/>
        </w:rPr>
        <w:t>Strengthening Democracy Taskforce 2024</w:t>
      </w:r>
      <w:r w:rsidR="00F140F0">
        <w:rPr>
          <w:lang w:val="en-GB" w:eastAsia="zh-CN" w:bidi="th-TH"/>
        </w:rPr>
        <w:t>).</w:t>
      </w:r>
    </w:p>
    <w:p w14:paraId="21ECFDEF" w14:textId="2B68C940" w:rsidR="00CE6B92" w:rsidRPr="00CE6B92" w:rsidRDefault="00CE6B92" w:rsidP="001B7F4E">
      <w:pPr>
        <w:rPr>
          <w:b/>
          <w:bCs/>
          <w:highlight w:val="white"/>
          <w:u w:val="single"/>
          <w:lang w:val="en-GB" w:eastAsia="zh-CN" w:bidi="th-TH"/>
        </w:rPr>
      </w:pPr>
      <w:r w:rsidRPr="00CE6B92">
        <w:rPr>
          <w:lang w:val="en-GB" w:eastAsia="zh-CN" w:bidi="th-TH"/>
        </w:rPr>
        <w:t>Cultural and community institutions – broadly encompassing GLAMs</w:t>
      </w:r>
      <w:r w:rsidRPr="00CE6B92">
        <w:rPr>
          <w:highlight w:val="white"/>
          <w:lang w:val="en-GB" w:eastAsia="zh-CN" w:bidi="th-TH"/>
        </w:rPr>
        <w:t>, political and civil</w:t>
      </w:r>
      <w:r w:rsidR="008702A4">
        <w:rPr>
          <w:highlight w:val="white"/>
          <w:lang w:val="en-GB" w:eastAsia="zh-CN" w:bidi="th-TH"/>
        </w:rPr>
        <w:t> </w:t>
      </w:r>
      <w:r w:rsidRPr="00CE6B92">
        <w:rPr>
          <w:highlight w:val="white"/>
          <w:lang w:val="en-GB" w:eastAsia="zh-CN" w:bidi="th-TH"/>
        </w:rPr>
        <w:t>society organisations, recreation and special interest groups, and democratic, educational and religious institutions – are key sites of civic engagement</w:t>
      </w:r>
      <w:r w:rsidR="00F140F0">
        <w:rPr>
          <w:highlight w:val="white"/>
          <w:lang w:val="en-GB" w:eastAsia="zh-CN" w:bidi="th-TH"/>
        </w:rPr>
        <w:t xml:space="preserve"> (</w:t>
      </w:r>
      <w:r w:rsidR="001D3FF5">
        <w:rPr>
          <w:highlight w:val="white"/>
          <w:lang w:val="en-GB" w:eastAsia="zh-CN" w:bidi="th-TH"/>
        </w:rPr>
        <w:t xml:space="preserve">Aldrich 2023a; </w:t>
      </w:r>
      <w:proofErr w:type="spellStart"/>
      <w:r w:rsidR="001D3FF5" w:rsidRPr="00CE6B92">
        <w:rPr>
          <w:rFonts w:ascii="Aptos" w:eastAsia="Aptos" w:hAnsi="Aptos" w:cs="Aptos"/>
          <w:szCs w:val="28"/>
          <w:lang w:val="en-GB" w:eastAsia="zh-CN" w:bidi="th-TH"/>
        </w:rPr>
        <w:t>Gattenhof</w:t>
      </w:r>
      <w:proofErr w:type="spellEnd"/>
      <w:r w:rsidR="001D3FF5">
        <w:rPr>
          <w:rFonts w:ascii="Aptos" w:eastAsia="Aptos" w:hAnsi="Aptos" w:cs="Aptos"/>
          <w:szCs w:val="28"/>
          <w:lang w:val="en-GB" w:eastAsia="zh-CN" w:bidi="th-TH"/>
        </w:rPr>
        <w:t xml:space="preserve"> et al.</w:t>
      </w:r>
      <w:r w:rsidR="0004526D">
        <w:rPr>
          <w:rFonts w:ascii="Aptos" w:eastAsia="Aptos" w:hAnsi="Aptos" w:cs="Aptos"/>
          <w:szCs w:val="28"/>
          <w:lang w:val="en-GB" w:eastAsia="zh-CN" w:bidi="th-TH"/>
        </w:rPr>
        <w:t xml:space="preserve"> 2023</w:t>
      </w:r>
      <w:r w:rsidR="00F140F0">
        <w:rPr>
          <w:highlight w:val="white"/>
          <w:lang w:val="en-GB" w:eastAsia="zh-CN" w:bidi="th-TH"/>
        </w:rPr>
        <w:t>).</w:t>
      </w:r>
      <w:r w:rsidR="007A42EB">
        <w:rPr>
          <w:highlight w:val="white"/>
          <w:lang w:val="en-GB" w:eastAsia="zh-CN" w:bidi="th-TH"/>
        </w:rPr>
        <w:t xml:space="preserve"> </w:t>
      </w:r>
      <w:r w:rsidRPr="00CE6B92">
        <w:rPr>
          <w:highlight w:val="white"/>
          <w:lang w:val="en-GB" w:eastAsia="zh-CN" w:bidi="th-TH"/>
        </w:rPr>
        <w:t>They</w:t>
      </w:r>
      <w:r w:rsidR="00AC39D6">
        <w:rPr>
          <w:lang w:val="en-GB" w:eastAsia="zh-CN" w:bidi="th-TH"/>
        </w:rPr>
        <w:t> </w:t>
      </w:r>
      <w:r w:rsidRPr="00CE6B92">
        <w:rPr>
          <w:lang w:val="en-GB" w:eastAsia="zh-CN" w:bidi="th-TH"/>
        </w:rPr>
        <w:t xml:space="preserve">collect, host, produce and share vast amounts of information </w:t>
      </w:r>
      <w:r w:rsidRPr="00CE6B92">
        <w:rPr>
          <w:highlight w:val="white"/>
          <w:lang w:val="en-GB" w:eastAsia="zh-CN" w:bidi="th-TH"/>
        </w:rPr>
        <w:t>for public audiences and are, to varying degrees, inherently invested in information resilience</w:t>
      </w:r>
      <w:r w:rsidR="00F140F0">
        <w:rPr>
          <w:highlight w:val="white"/>
          <w:lang w:val="en-GB" w:eastAsia="zh-CN" w:bidi="th-TH"/>
        </w:rPr>
        <w:t xml:space="preserve"> (</w:t>
      </w:r>
      <w:r w:rsidR="00B52F0E" w:rsidRPr="00CE6B92">
        <w:rPr>
          <w:rFonts w:ascii="Aptos" w:eastAsia="Aptos" w:hAnsi="Aptos" w:cs="Aptos"/>
          <w:szCs w:val="28"/>
          <w:lang w:val="en-GB" w:eastAsia="zh-CN" w:bidi="th-TH"/>
        </w:rPr>
        <w:t>Johns</w:t>
      </w:r>
      <w:r w:rsidR="0076745E">
        <w:rPr>
          <w:rFonts w:ascii="Aptos" w:eastAsia="Aptos" w:hAnsi="Aptos" w:cs="Aptos"/>
          <w:szCs w:val="28"/>
          <w:lang w:val="en-GB" w:eastAsia="zh-CN" w:bidi="th-TH"/>
        </w:rPr>
        <w:t>t</w:t>
      </w:r>
      <w:r w:rsidR="00B52F0E" w:rsidRPr="00CE6B92">
        <w:rPr>
          <w:rFonts w:ascii="Aptos" w:eastAsia="Aptos" w:hAnsi="Aptos" w:cs="Aptos"/>
          <w:szCs w:val="28"/>
          <w:lang w:val="en-GB" w:eastAsia="zh-CN" w:bidi="th-TH"/>
        </w:rPr>
        <w:t>on</w:t>
      </w:r>
      <w:r w:rsidR="00B52F0E">
        <w:rPr>
          <w:rFonts w:ascii="Aptos" w:eastAsia="Aptos" w:hAnsi="Aptos" w:cs="Aptos"/>
          <w:szCs w:val="28"/>
          <w:lang w:val="en-GB" w:eastAsia="zh-CN" w:bidi="th-TH"/>
        </w:rPr>
        <w:t xml:space="preserve"> 2023; </w:t>
      </w:r>
      <w:r w:rsidR="00B52F0E" w:rsidRPr="00CE6B92">
        <w:rPr>
          <w:rFonts w:ascii="Aptos" w:eastAsia="Aptos" w:hAnsi="Aptos" w:cs="Aptos"/>
          <w:szCs w:val="28"/>
          <w:lang w:val="en-GB" w:eastAsia="zh-CN" w:bidi="th-TH"/>
        </w:rPr>
        <w:t>De Paor and Heravi 2020</w:t>
      </w:r>
      <w:r w:rsidR="00F140F0">
        <w:rPr>
          <w:highlight w:val="white"/>
          <w:lang w:val="en-GB" w:eastAsia="zh-CN" w:bidi="th-TH"/>
        </w:rPr>
        <w:t>).</w:t>
      </w:r>
      <w:r w:rsidR="007A42EB">
        <w:rPr>
          <w:lang w:val="en-GB" w:eastAsia="zh-CN" w:bidi="th-TH"/>
        </w:rPr>
        <w:t xml:space="preserve"> </w:t>
      </w:r>
      <w:r w:rsidRPr="00CE6B92">
        <w:rPr>
          <w:lang w:val="en-GB" w:eastAsia="zh-CN" w:bidi="th-TH"/>
        </w:rPr>
        <w:t>They are a</w:t>
      </w:r>
      <w:r w:rsidRPr="00CE6B92">
        <w:rPr>
          <w:highlight w:val="white"/>
          <w:lang w:val="en-GB" w:eastAsia="zh-CN" w:bidi="th-TH"/>
        </w:rPr>
        <w:t>lso social infrastructure – accessible, neutral spaces where cultural background, class and ideology is generally irrelevant, and people interact and form networks</w:t>
      </w:r>
      <w:r w:rsidR="00F140F0">
        <w:rPr>
          <w:highlight w:val="white"/>
          <w:lang w:val="en-GB" w:eastAsia="zh-CN" w:bidi="th-TH"/>
        </w:rPr>
        <w:t xml:space="preserve"> (</w:t>
      </w:r>
      <w:r w:rsidR="00C578B1">
        <w:rPr>
          <w:highlight w:val="white"/>
          <w:lang w:val="en-GB" w:eastAsia="zh-CN" w:bidi="th-TH"/>
        </w:rPr>
        <w:t xml:space="preserve">Aldrich 2023a; Evans 2021; Fraser et al. 2022; </w:t>
      </w:r>
      <w:r w:rsidR="005F647E" w:rsidRPr="00CE6B92">
        <w:rPr>
          <w:rFonts w:ascii="Aptos" w:eastAsia="Aptos" w:hAnsi="Aptos" w:cs="Aptos"/>
          <w:szCs w:val="28"/>
          <w:lang w:val="en-GB" w:eastAsia="zh-CN" w:bidi="th-TH"/>
        </w:rPr>
        <w:t>Trinca</w:t>
      </w:r>
      <w:r w:rsidR="005F647E">
        <w:rPr>
          <w:rFonts w:ascii="Aptos" w:eastAsia="Aptos" w:hAnsi="Aptos" w:cs="Aptos"/>
          <w:szCs w:val="28"/>
          <w:lang w:val="en-GB" w:eastAsia="zh-CN" w:bidi="th-TH"/>
        </w:rPr>
        <w:t xml:space="preserve"> 2024; Vivian et al. 2024</w:t>
      </w:r>
      <w:r w:rsidR="00F140F0">
        <w:rPr>
          <w:highlight w:val="white"/>
          <w:lang w:val="en-GB" w:eastAsia="zh-CN" w:bidi="th-TH"/>
        </w:rPr>
        <w:t>).</w:t>
      </w:r>
      <w:r w:rsidR="007A42EB">
        <w:rPr>
          <w:highlight w:val="white"/>
          <w:lang w:val="en-GB" w:eastAsia="zh-CN" w:bidi="th-TH"/>
        </w:rPr>
        <w:t xml:space="preserve"> </w:t>
      </w:r>
      <w:r w:rsidRPr="00CE6B92">
        <w:rPr>
          <w:highlight w:val="white"/>
          <w:lang w:val="en-GB" w:eastAsia="zh-CN" w:bidi="th-TH"/>
        </w:rPr>
        <w:t>These</w:t>
      </w:r>
      <w:r w:rsidR="00AC39D6">
        <w:rPr>
          <w:highlight w:val="white"/>
          <w:lang w:val="en-GB" w:eastAsia="zh-CN" w:bidi="th-TH"/>
        </w:rPr>
        <w:t> </w:t>
      </w:r>
      <w:r w:rsidRPr="00CE6B92">
        <w:rPr>
          <w:highlight w:val="white"/>
          <w:lang w:val="en-GB" w:eastAsia="zh-CN" w:bidi="th-TH"/>
        </w:rPr>
        <w:t>spaces are increasingly important as polarisation and economic inequality becomes more pronounced, and as Australians’ sense of national belonging and intergroup trust has declined</w:t>
      </w:r>
      <w:r w:rsidR="00F140F0">
        <w:rPr>
          <w:highlight w:val="white"/>
          <w:lang w:val="en-GB" w:eastAsia="zh-CN" w:bidi="th-TH"/>
        </w:rPr>
        <w:t xml:space="preserve"> (</w:t>
      </w:r>
      <w:r w:rsidR="005F647E" w:rsidRPr="00CE6B92">
        <w:rPr>
          <w:rFonts w:ascii="Aptos" w:eastAsia="Aptos" w:hAnsi="Aptos" w:cs="Aptos"/>
          <w:szCs w:val="28"/>
          <w:lang w:val="en-GB" w:eastAsia="zh-CN" w:bidi="th-TH"/>
        </w:rPr>
        <w:t>O’Donnell</w:t>
      </w:r>
      <w:r w:rsidR="00F561D8">
        <w:rPr>
          <w:rFonts w:ascii="Aptos" w:eastAsia="Aptos" w:hAnsi="Aptos" w:cs="Aptos"/>
          <w:szCs w:val="28"/>
          <w:lang w:val="en-GB" w:eastAsia="zh-CN" w:bidi="th-TH"/>
        </w:rPr>
        <w:t xml:space="preserve"> et al. 2024</w:t>
      </w:r>
      <w:r w:rsidR="00F140F0">
        <w:rPr>
          <w:highlight w:val="white"/>
          <w:lang w:val="en-GB" w:eastAsia="zh-CN" w:bidi="th-TH"/>
        </w:rPr>
        <w:t>).</w:t>
      </w:r>
      <w:r w:rsidR="007A42EB">
        <w:rPr>
          <w:highlight w:val="white"/>
          <w:lang w:val="en-GB" w:eastAsia="zh-CN" w:bidi="th-TH"/>
        </w:rPr>
        <w:t xml:space="preserve"> </w:t>
      </w:r>
      <w:r w:rsidRPr="00CE6B92">
        <w:rPr>
          <w:highlight w:val="white"/>
          <w:lang w:val="en-GB" w:eastAsia="zh-CN" w:bidi="th-TH"/>
        </w:rPr>
        <w:t>Indeed, political scientist Daniel Aldrich notes that</w:t>
      </w:r>
      <w:r w:rsidR="00EA5229">
        <w:rPr>
          <w:highlight w:val="white"/>
          <w:lang w:val="en-GB" w:eastAsia="zh-CN" w:bidi="th-TH"/>
        </w:rPr>
        <w:t>,</w:t>
      </w:r>
      <w:r w:rsidRPr="00CE6B92">
        <w:rPr>
          <w:highlight w:val="white"/>
          <w:lang w:val="en-GB" w:eastAsia="zh-CN" w:bidi="th-TH"/>
        </w:rPr>
        <w:t xml:space="preserve"> </w:t>
      </w:r>
      <w:r w:rsidR="00687BDA">
        <w:rPr>
          <w:highlight w:val="white"/>
          <w:lang w:val="en-GB" w:eastAsia="zh-CN" w:bidi="th-TH"/>
        </w:rPr>
        <w:t>‘</w:t>
      </w:r>
      <w:r w:rsidRPr="00CE6B92">
        <w:rPr>
          <w:highlight w:val="white"/>
          <w:lang w:val="en-GB" w:eastAsia="zh-CN" w:bidi="th-TH"/>
        </w:rPr>
        <w:t>in</w:t>
      </w:r>
      <w:r w:rsidR="00AC39D6">
        <w:rPr>
          <w:highlight w:val="white"/>
          <w:lang w:val="en-GB" w:eastAsia="zh-CN" w:bidi="th-TH"/>
        </w:rPr>
        <w:t> </w:t>
      </w:r>
      <w:r w:rsidRPr="00CE6B92">
        <w:rPr>
          <w:highlight w:val="white"/>
          <w:lang w:val="en-GB" w:eastAsia="zh-CN" w:bidi="th-TH"/>
        </w:rPr>
        <w:t>an era of … misinformation these spaces may be the few places left where people from across the political spectrum can meet to build trust</w:t>
      </w:r>
      <w:r w:rsidR="00F561D8">
        <w:rPr>
          <w:highlight w:val="white"/>
          <w:lang w:val="en-GB" w:eastAsia="zh-CN" w:bidi="th-TH"/>
        </w:rPr>
        <w:t>’ (Aldrich 2023a)</w:t>
      </w:r>
      <w:r w:rsidR="00EA5229">
        <w:rPr>
          <w:highlight w:val="white"/>
          <w:lang w:val="en-GB" w:eastAsia="zh-CN" w:bidi="th-TH"/>
        </w:rPr>
        <w:t>.</w:t>
      </w:r>
    </w:p>
    <w:p w14:paraId="19482C86" w14:textId="77777777" w:rsidR="004E1CF3" w:rsidRPr="00EA02B1" w:rsidRDefault="004E1CF3" w:rsidP="00EA02B1">
      <w:pPr>
        <w:rPr>
          <w:highlight w:val="white"/>
        </w:rPr>
      </w:pPr>
      <w:r>
        <w:rPr>
          <w:highlight w:val="white"/>
          <w:lang w:val="en-GB" w:eastAsia="zh-CN" w:bidi="th-TH"/>
        </w:rPr>
        <w:br w:type="page"/>
      </w:r>
    </w:p>
    <w:p w14:paraId="1BD68EDF" w14:textId="76BBAF7C" w:rsidR="00CE6B92" w:rsidRPr="00CE6B92" w:rsidRDefault="00CE6B92" w:rsidP="00EA02B1">
      <w:pPr>
        <w:pStyle w:val="Heading2Numbered"/>
        <w:rPr>
          <w:highlight w:val="white"/>
          <w:lang w:val="en-GB" w:eastAsia="zh-CN" w:bidi="th-TH"/>
        </w:rPr>
      </w:pPr>
      <w:bookmarkStart w:id="30" w:name="_Toc218517314"/>
      <w:r w:rsidRPr="00CE6B92">
        <w:rPr>
          <w:highlight w:val="white"/>
          <w:lang w:val="en-GB" w:eastAsia="zh-CN" w:bidi="th-TH"/>
        </w:rPr>
        <w:lastRenderedPageBreak/>
        <w:t>The role of cultural and community structures and institutions</w:t>
      </w:r>
      <w:bookmarkEnd w:id="30"/>
    </w:p>
    <w:p w14:paraId="1133BAB6" w14:textId="77777777" w:rsidR="00CE6B92" w:rsidRPr="00CE6B92" w:rsidRDefault="00CE6B92" w:rsidP="00EA02B1">
      <w:pPr>
        <w:pStyle w:val="Heading3Numbered"/>
        <w:rPr>
          <w:highlight w:val="white"/>
          <w:lang w:val="en-GB" w:eastAsia="zh-CN" w:bidi="th-TH"/>
        </w:rPr>
      </w:pPr>
      <w:bookmarkStart w:id="31" w:name="_Toc218517315"/>
      <w:r w:rsidRPr="00CE6B92">
        <w:rPr>
          <w:highlight w:val="white"/>
          <w:lang w:val="en-GB" w:eastAsia="zh-CN" w:bidi="th-TH"/>
        </w:rPr>
        <w:t>The institutional state of play</w:t>
      </w:r>
      <w:bookmarkEnd w:id="31"/>
    </w:p>
    <w:p w14:paraId="088E865A" w14:textId="7394018B" w:rsidR="00CE6B92" w:rsidRPr="00EA02B1" w:rsidRDefault="00CE6B92" w:rsidP="001404FB">
      <w:r w:rsidRPr="00EA02B1">
        <w:rPr>
          <w:highlight w:val="white"/>
        </w:rPr>
        <w:t>Australia’s cultural and community institutions are varied and exist on a</w:t>
      </w:r>
      <w:r w:rsidRPr="00EA02B1">
        <w:t xml:space="preserve"> continuum from formal to informal. This variability is a strength in terms of reach and innovative ways of engaging the public</w:t>
      </w:r>
      <w:r w:rsidR="00ED77B0" w:rsidRPr="00EA02B1">
        <w:t>,</w:t>
      </w:r>
      <w:r w:rsidRPr="00EA02B1">
        <w:t xml:space="preserve"> however, it may make it difficult to translate high</w:t>
      </w:r>
      <w:r w:rsidR="001404FB">
        <w:noBreakHyphen/>
      </w:r>
      <w:r w:rsidRPr="00EA02B1">
        <w:t xml:space="preserve">level social outcomes into actionable goals for individual institutions and sectors. </w:t>
      </w:r>
      <w:r w:rsidRPr="00EA02B1">
        <w:rPr>
          <w:highlight w:val="white"/>
        </w:rPr>
        <w:t>Attempts</w:t>
      </w:r>
      <w:r w:rsidR="00AC39D6">
        <w:rPr>
          <w:highlight w:val="white"/>
        </w:rPr>
        <w:t> </w:t>
      </w:r>
      <w:r w:rsidRPr="00EA02B1">
        <w:rPr>
          <w:highlight w:val="white"/>
        </w:rPr>
        <w:t>to mobilise cultural and community institutions to address</w:t>
      </w:r>
      <w:r w:rsidR="00EA5229">
        <w:rPr>
          <w:highlight w:val="white"/>
        </w:rPr>
        <w:t xml:space="preserve"> mis- </w:t>
      </w:r>
      <w:r w:rsidR="00ED77B0" w:rsidRPr="00EA02B1">
        <w:rPr>
          <w:highlight w:val="white"/>
        </w:rPr>
        <w:t xml:space="preserve">and </w:t>
      </w:r>
      <w:r w:rsidRPr="00EA02B1">
        <w:rPr>
          <w:highlight w:val="white"/>
        </w:rPr>
        <w:t xml:space="preserve">disinformation should engage the sector closely and consider identifying consistent criteria for intended social outcomes and indicators of success. </w:t>
      </w:r>
    </w:p>
    <w:p w14:paraId="5EC4E0F1" w14:textId="7C8E0D0D" w:rsidR="00CE6B92" w:rsidRPr="00CE6B92" w:rsidRDefault="00CE6B92" w:rsidP="001B7F4E">
      <w:pPr>
        <w:rPr>
          <w:lang w:val="en-GB" w:eastAsia="zh-CN" w:bidi="th-TH"/>
        </w:rPr>
      </w:pPr>
      <w:r w:rsidRPr="00CE6B92">
        <w:rPr>
          <w:lang w:val="en-GB" w:eastAsia="zh-CN" w:bidi="th-TH"/>
        </w:rPr>
        <w:t xml:space="preserve">Australia’s cultural and community landscape is vast and includes institutions and groups which </w:t>
      </w:r>
      <w:r w:rsidRPr="00CE6B92">
        <w:rPr>
          <w:highlight w:val="white"/>
          <w:lang w:val="en-GB" w:eastAsia="zh-CN" w:bidi="th-TH"/>
        </w:rPr>
        <w:t xml:space="preserve">operate at </w:t>
      </w:r>
      <w:r w:rsidRPr="00CE6B92">
        <w:rPr>
          <w:lang w:val="en-GB" w:eastAsia="zh-CN" w:bidi="th-TH"/>
        </w:rPr>
        <w:t>diverse scales and localities across the country – ranging from well</w:t>
      </w:r>
      <w:r w:rsidR="001404FB">
        <w:rPr>
          <w:lang w:val="en-GB" w:eastAsia="zh-CN" w:bidi="th-TH"/>
        </w:rPr>
        <w:noBreakHyphen/>
      </w:r>
      <w:r w:rsidRPr="00CE6B92">
        <w:rPr>
          <w:lang w:val="en-GB" w:eastAsia="zh-CN" w:bidi="th-TH"/>
        </w:rPr>
        <w:t>funded flagship national institutions which share stories of national identity</w:t>
      </w:r>
      <w:r w:rsidR="001B4FA6">
        <w:rPr>
          <w:lang w:val="en-GB" w:eastAsia="zh-CN" w:bidi="th-TH"/>
        </w:rPr>
        <w:t xml:space="preserve"> </w:t>
      </w:r>
      <w:r w:rsidR="00490524">
        <w:rPr>
          <w:lang w:val="en-GB" w:eastAsia="zh-CN" w:bidi="th-TH"/>
        </w:rPr>
        <w:t>(</w:t>
      </w:r>
      <w:r w:rsidR="001B4FA6">
        <w:rPr>
          <w:lang w:val="en-GB" w:eastAsia="zh-CN" w:bidi="th-TH"/>
        </w:rPr>
        <w:t xml:space="preserve">Joint Standing Committee on the National Capital and External Territories 2019; </w:t>
      </w:r>
      <w:r w:rsidR="001B4FA6" w:rsidRPr="00CE6B92">
        <w:rPr>
          <w:rFonts w:ascii="Aptos" w:eastAsia="Aptos" w:hAnsi="Aptos" w:cs="Aptos"/>
          <w:szCs w:val="28"/>
          <w:lang w:val="en-GB" w:eastAsia="zh-CN" w:bidi="th-TH"/>
        </w:rPr>
        <w:t>Senate Legal and Constitutional Affairs References Committee</w:t>
      </w:r>
      <w:r w:rsidR="001B4FA6">
        <w:rPr>
          <w:rFonts w:ascii="Aptos" w:eastAsia="Aptos" w:hAnsi="Aptos" w:cs="Aptos"/>
          <w:szCs w:val="28"/>
          <w:lang w:val="en-GB" w:eastAsia="zh-CN" w:bidi="th-TH"/>
        </w:rPr>
        <w:t xml:space="preserve"> 2021)</w:t>
      </w:r>
      <w:r w:rsidR="007A42EB">
        <w:rPr>
          <w:lang w:val="en-GB" w:eastAsia="zh-CN" w:bidi="th-TH"/>
        </w:rPr>
        <w:t xml:space="preserve"> </w:t>
      </w:r>
      <w:r w:rsidRPr="00CE6B92">
        <w:rPr>
          <w:lang w:val="en-GB" w:eastAsia="zh-CN" w:bidi="th-TH"/>
        </w:rPr>
        <w:t>to small, community</w:t>
      </w:r>
      <w:r w:rsidR="001404FB">
        <w:rPr>
          <w:lang w:val="en-GB" w:eastAsia="zh-CN" w:bidi="th-TH"/>
        </w:rPr>
        <w:noBreakHyphen/>
      </w:r>
      <w:r w:rsidRPr="00CE6B92">
        <w:rPr>
          <w:lang w:val="en-GB" w:eastAsia="zh-CN" w:bidi="th-TH"/>
        </w:rPr>
        <w:t>based and volunteer</w:t>
      </w:r>
      <w:r w:rsidR="001404FB">
        <w:rPr>
          <w:lang w:val="en-GB" w:eastAsia="zh-CN" w:bidi="th-TH"/>
        </w:rPr>
        <w:noBreakHyphen/>
      </w:r>
      <w:r w:rsidRPr="00CE6B92">
        <w:rPr>
          <w:lang w:val="en-GB" w:eastAsia="zh-CN" w:bidi="th-TH"/>
        </w:rPr>
        <w:t>led institutions and groups which are intimately engaged in local concerns and outreach activities</w:t>
      </w:r>
      <w:r w:rsidR="00F140F0">
        <w:rPr>
          <w:lang w:val="en-GB" w:eastAsia="zh-CN" w:bidi="th-TH"/>
        </w:rPr>
        <w:t xml:space="preserve"> (</w:t>
      </w:r>
      <w:r w:rsidR="00F561D8" w:rsidRPr="00CE6B92">
        <w:rPr>
          <w:rFonts w:ascii="Aptos" w:eastAsia="Aptos" w:hAnsi="Aptos" w:cs="Aptos"/>
          <w:szCs w:val="28"/>
          <w:lang w:val="en-GB" w:eastAsia="zh-CN" w:bidi="th-TH"/>
        </w:rPr>
        <w:t>Bennett</w:t>
      </w:r>
      <w:r w:rsidR="00F561D8">
        <w:rPr>
          <w:rFonts w:ascii="Aptos" w:eastAsia="Aptos" w:hAnsi="Aptos" w:cs="Aptos"/>
          <w:szCs w:val="28"/>
          <w:lang w:val="en-GB" w:eastAsia="zh-CN" w:bidi="th-TH"/>
        </w:rPr>
        <w:t xml:space="preserve"> et al. 2020; </w:t>
      </w:r>
      <w:r w:rsidR="00F561D8" w:rsidRPr="00CE6B92">
        <w:rPr>
          <w:rFonts w:ascii="Aptos" w:eastAsia="Aptos" w:hAnsi="Aptos" w:cs="Aptos"/>
          <w:szCs w:val="28"/>
          <w:lang w:val="en-GB" w:eastAsia="zh-CN" w:bidi="th-TH"/>
        </w:rPr>
        <w:t>Fielding</w:t>
      </w:r>
      <w:r w:rsidR="00F561D8">
        <w:rPr>
          <w:rFonts w:ascii="Aptos" w:eastAsia="Aptos" w:hAnsi="Aptos" w:cs="Aptos"/>
          <w:szCs w:val="28"/>
          <w:lang w:val="en-GB" w:eastAsia="zh-CN" w:bidi="th-TH"/>
        </w:rPr>
        <w:t xml:space="preserve"> et al. 2023; </w:t>
      </w:r>
      <w:r w:rsidR="00F561D8" w:rsidRPr="00CE6B92">
        <w:rPr>
          <w:rFonts w:ascii="Aptos" w:eastAsia="Aptos" w:hAnsi="Aptos" w:cs="Aptos"/>
          <w:szCs w:val="28"/>
          <w:lang w:val="en-GB" w:eastAsia="zh-CN" w:bidi="th-TH"/>
        </w:rPr>
        <w:t>Riboldi</w:t>
      </w:r>
      <w:r w:rsidR="00F561D8">
        <w:rPr>
          <w:rFonts w:ascii="Aptos" w:eastAsia="Aptos" w:hAnsi="Aptos" w:cs="Aptos"/>
          <w:szCs w:val="28"/>
          <w:lang w:val="en-GB" w:eastAsia="zh-CN" w:bidi="th-TH"/>
        </w:rPr>
        <w:t xml:space="preserve"> et al. </w:t>
      </w:r>
      <w:r w:rsidR="0020666A">
        <w:rPr>
          <w:rFonts w:ascii="Aptos" w:eastAsia="Aptos" w:hAnsi="Aptos" w:cs="Aptos"/>
          <w:szCs w:val="28"/>
          <w:lang w:val="en-GB" w:eastAsia="zh-CN" w:bidi="th-TH"/>
        </w:rPr>
        <w:t xml:space="preserve">2022; </w:t>
      </w:r>
      <w:r w:rsidR="0020666A" w:rsidRPr="00CE6B92">
        <w:rPr>
          <w:rFonts w:ascii="Aptos" w:eastAsia="Aptos" w:hAnsi="Aptos" w:cs="Aptos"/>
          <w:szCs w:val="28"/>
          <w:lang w:val="en-GB" w:eastAsia="zh-CN" w:bidi="th-TH"/>
        </w:rPr>
        <w:t>Stevenson</w:t>
      </w:r>
      <w:r w:rsidR="0020666A">
        <w:rPr>
          <w:rFonts w:ascii="Aptos" w:eastAsia="Aptos" w:hAnsi="Aptos" w:cs="Aptos"/>
          <w:szCs w:val="28"/>
          <w:lang w:val="en-GB" w:eastAsia="zh-CN" w:bidi="th-TH"/>
        </w:rPr>
        <w:t xml:space="preserve"> et al. 2019</w:t>
      </w:r>
      <w:r w:rsidR="00F140F0">
        <w:rPr>
          <w:lang w:val="en-GB" w:eastAsia="zh-CN" w:bidi="th-TH"/>
        </w:rPr>
        <w:t>).</w:t>
      </w:r>
      <w:r w:rsidR="007A42EB">
        <w:rPr>
          <w:lang w:val="en-GB" w:eastAsia="zh-CN" w:bidi="th-TH"/>
        </w:rPr>
        <w:t xml:space="preserve"> </w:t>
      </w:r>
      <w:r w:rsidRPr="00CE6B92">
        <w:rPr>
          <w:lang w:val="en-GB" w:eastAsia="zh-CN" w:bidi="th-TH"/>
        </w:rPr>
        <w:t>Cultural and community institutions can, therefore, be viewed on a continuum from formal to informal, with differing goals, capabilities, networks and forms of engagement.</w:t>
      </w:r>
    </w:p>
    <w:p w14:paraId="59E1981B" w14:textId="77777777" w:rsidR="007A42EB" w:rsidRDefault="00CE6B92" w:rsidP="001B7F4E">
      <w:pPr>
        <w:rPr>
          <w:lang w:val="en-GB" w:eastAsia="zh-CN" w:bidi="th-TH"/>
        </w:rPr>
      </w:pPr>
      <w:r w:rsidRPr="00CE6B92">
        <w:rPr>
          <w:lang w:val="en-GB" w:eastAsia="zh-CN" w:bidi="th-TH"/>
        </w:rPr>
        <w:t>Cultural and community institutions are locally embedded and build partnerships with communities and other institutions to draw on local knowledge for services and information that reflect societal and local issues of importance</w:t>
      </w:r>
      <w:r w:rsidR="00F140F0">
        <w:rPr>
          <w:lang w:val="en-GB" w:eastAsia="zh-CN" w:bidi="th-TH"/>
        </w:rPr>
        <w:t xml:space="preserve"> (</w:t>
      </w:r>
      <w:r w:rsidR="0020666A" w:rsidRPr="00CE6B92">
        <w:rPr>
          <w:rFonts w:ascii="Aptos" w:eastAsia="Aptos" w:hAnsi="Aptos" w:cs="Aptos"/>
          <w:szCs w:val="28"/>
          <w:lang w:val="en-GB" w:eastAsia="zh-CN" w:bidi="th-TH"/>
        </w:rPr>
        <w:t>Pope</w:t>
      </w:r>
      <w:r w:rsidR="0020666A">
        <w:rPr>
          <w:rFonts w:ascii="Aptos" w:eastAsia="Aptos" w:hAnsi="Aptos" w:cs="Aptos"/>
          <w:szCs w:val="28"/>
          <w:lang w:val="en-GB" w:eastAsia="zh-CN" w:bidi="th-TH"/>
        </w:rPr>
        <w:t xml:space="preserve"> 2009; </w:t>
      </w:r>
      <w:r w:rsidR="0020666A" w:rsidRPr="00CE6B92">
        <w:rPr>
          <w:rFonts w:ascii="Aptos" w:eastAsia="Aptos" w:hAnsi="Aptos" w:cs="Aptos"/>
          <w:szCs w:val="28"/>
          <w:lang w:val="en-GB" w:eastAsia="zh-CN" w:bidi="th-TH"/>
        </w:rPr>
        <w:t>Riboldi</w:t>
      </w:r>
      <w:r w:rsidR="0020666A">
        <w:rPr>
          <w:rFonts w:ascii="Aptos" w:eastAsia="Aptos" w:hAnsi="Aptos" w:cs="Aptos"/>
          <w:szCs w:val="28"/>
          <w:lang w:val="en-GB" w:eastAsia="zh-CN" w:bidi="th-TH"/>
        </w:rPr>
        <w:t xml:space="preserve"> et al. 2022</w:t>
      </w:r>
      <w:r w:rsidR="00F140F0">
        <w:rPr>
          <w:lang w:val="en-GB" w:eastAsia="zh-CN" w:bidi="th-TH"/>
        </w:rPr>
        <w:t>).</w:t>
      </w:r>
      <w:r w:rsidR="007A42EB">
        <w:rPr>
          <w:lang w:val="en-GB" w:eastAsia="zh-CN" w:bidi="th-TH"/>
        </w:rPr>
        <w:t xml:space="preserve"> </w:t>
      </w:r>
      <w:r w:rsidRPr="00CE6B92">
        <w:rPr>
          <w:lang w:val="en-GB" w:eastAsia="zh-CN" w:bidi="th-TH"/>
        </w:rPr>
        <w:t>Local</w:t>
      </w:r>
      <w:r w:rsidR="00EA5229">
        <w:rPr>
          <w:lang w:val="en-GB" w:eastAsia="zh-CN" w:bidi="th-TH"/>
        </w:rPr>
        <w:t> </w:t>
      </w:r>
      <w:r w:rsidRPr="00CE6B92">
        <w:rPr>
          <w:lang w:val="en-GB" w:eastAsia="zh-CN" w:bidi="th-TH"/>
        </w:rPr>
        <w:t>embeddedness is critical to placemaking and accommodating communities of difference</w:t>
      </w:r>
      <w:r w:rsidR="00D82553">
        <w:rPr>
          <w:lang w:val="en-GB" w:eastAsia="zh-CN" w:bidi="th-TH"/>
        </w:rPr>
        <w:t xml:space="preserve"> (Rosenburg 2011)</w:t>
      </w:r>
      <w:r w:rsidRPr="00CE6B92">
        <w:rPr>
          <w:lang w:val="en-GB" w:eastAsia="zh-CN" w:bidi="th-TH"/>
        </w:rPr>
        <w:t>,</w:t>
      </w:r>
      <w:r w:rsidR="007A42EB">
        <w:rPr>
          <w:lang w:val="en-GB" w:eastAsia="zh-CN" w:bidi="th-TH"/>
        </w:rPr>
        <w:t xml:space="preserve"> </w:t>
      </w:r>
      <w:r w:rsidRPr="00CE6B92">
        <w:rPr>
          <w:lang w:val="en-GB" w:eastAsia="zh-CN" w:bidi="th-TH"/>
        </w:rPr>
        <w:t>including the experiences of groups previously excluded</w:t>
      </w:r>
      <w:r w:rsidR="00F140F0">
        <w:rPr>
          <w:lang w:val="en-GB" w:eastAsia="zh-CN" w:bidi="th-TH"/>
        </w:rPr>
        <w:t xml:space="preserve"> (</w:t>
      </w:r>
      <w:r w:rsidR="0020666A" w:rsidRPr="00CE6B92">
        <w:rPr>
          <w:rFonts w:ascii="Aptos" w:eastAsia="Aptos" w:hAnsi="Aptos" w:cs="Aptos"/>
          <w:szCs w:val="28"/>
          <w:lang w:val="en-GB" w:eastAsia="zh-CN" w:bidi="th-TH"/>
        </w:rPr>
        <w:t>Pope</w:t>
      </w:r>
      <w:r w:rsidR="0020666A">
        <w:rPr>
          <w:rFonts w:ascii="Aptos" w:eastAsia="Aptos" w:hAnsi="Aptos" w:cs="Aptos"/>
          <w:szCs w:val="28"/>
          <w:lang w:val="en-GB" w:eastAsia="zh-CN" w:bidi="th-TH"/>
        </w:rPr>
        <w:t xml:space="preserve"> 2009;</w:t>
      </w:r>
      <w:r w:rsidR="0020666A" w:rsidRPr="0020666A">
        <w:rPr>
          <w:rFonts w:ascii="Aptos" w:eastAsia="Aptos" w:hAnsi="Aptos" w:cs="Aptos"/>
          <w:szCs w:val="28"/>
          <w:lang w:val="en-GB" w:eastAsia="zh-CN" w:bidi="th-TH"/>
        </w:rPr>
        <w:t xml:space="preserve"> </w:t>
      </w:r>
      <w:r w:rsidR="0020666A" w:rsidRPr="00CE6B92">
        <w:rPr>
          <w:rFonts w:ascii="Aptos" w:eastAsia="Aptos" w:hAnsi="Aptos" w:cs="Aptos"/>
          <w:szCs w:val="28"/>
          <w:lang w:val="en-GB" w:eastAsia="zh-CN" w:bidi="th-TH"/>
        </w:rPr>
        <w:t>Prowse</w:t>
      </w:r>
      <w:r w:rsidR="0020666A">
        <w:rPr>
          <w:rFonts w:ascii="Aptos" w:eastAsia="Aptos" w:hAnsi="Aptos" w:cs="Aptos"/>
          <w:szCs w:val="28"/>
          <w:lang w:val="en-GB" w:eastAsia="zh-CN" w:bidi="th-TH"/>
        </w:rPr>
        <w:t xml:space="preserve"> 2015</w:t>
      </w:r>
      <w:r w:rsidR="00F140F0">
        <w:rPr>
          <w:lang w:val="en-GB" w:eastAsia="zh-CN" w:bidi="th-TH"/>
        </w:rPr>
        <w:t>).</w:t>
      </w:r>
      <w:r w:rsidR="007A42EB">
        <w:rPr>
          <w:lang w:val="en-GB" w:eastAsia="zh-CN" w:bidi="th-TH"/>
        </w:rPr>
        <w:t xml:space="preserve"> </w:t>
      </w:r>
      <w:r w:rsidRPr="00CE6B92">
        <w:rPr>
          <w:lang w:val="en-GB" w:eastAsia="zh-CN" w:bidi="th-TH"/>
        </w:rPr>
        <w:t>For</w:t>
      </w:r>
      <w:r w:rsidR="00EA5229">
        <w:rPr>
          <w:lang w:val="en-GB" w:eastAsia="zh-CN" w:bidi="th-TH"/>
        </w:rPr>
        <w:t> </w:t>
      </w:r>
      <w:r w:rsidRPr="00CE6B92">
        <w:rPr>
          <w:lang w:val="en-GB" w:eastAsia="zh-CN" w:bidi="th-TH"/>
        </w:rPr>
        <w:t xml:space="preserve">instance, many institutions now embrace their responsibilities to work more actively and collaboratively with local </w:t>
      </w:r>
      <w:r w:rsidR="00057DF3">
        <w:rPr>
          <w:lang w:val="en-GB" w:eastAsia="zh-CN" w:bidi="th-TH"/>
        </w:rPr>
        <w:t>First Nation</w:t>
      </w:r>
      <w:r w:rsidRPr="00CE6B92">
        <w:rPr>
          <w:lang w:val="en-GB" w:eastAsia="zh-CN" w:bidi="th-TH"/>
        </w:rPr>
        <w:t>s communities</w:t>
      </w:r>
      <w:r w:rsidR="00F140F0">
        <w:rPr>
          <w:lang w:val="en-GB" w:eastAsia="zh-CN" w:bidi="th-TH"/>
        </w:rPr>
        <w:t xml:space="preserve"> (</w:t>
      </w:r>
      <w:r w:rsidR="0020666A" w:rsidRPr="00CE6B92">
        <w:rPr>
          <w:rFonts w:ascii="Aptos" w:eastAsia="Aptos" w:hAnsi="Aptos" w:cs="Aptos"/>
          <w:szCs w:val="28"/>
          <w:lang w:val="en-GB" w:eastAsia="zh-CN" w:bidi="th-TH"/>
        </w:rPr>
        <w:t>Commonwealth of Australia 2023</w:t>
      </w:r>
      <w:r w:rsidR="0020666A">
        <w:rPr>
          <w:rFonts w:ascii="Aptos" w:eastAsia="Aptos" w:hAnsi="Aptos" w:cs="Aptos"/>
          <w:szCs w:val="28"/>
          <w:lang w:val="en-GB" w:eastAsia="zh-CN" w:bidi="th-TH"/>
        </w:rPr>
        <w:t xml:space="preserve">; </w:t>
      </w:r>
      <w:r w:rsidR="0020666A" w:rsidRPr="00CE6B92">
        <w:rPr>
          <w:rFonts w:ascii="Aptos" w:eastAsia="Aptos" w:hAnsi="Aptos" w:cs="Aptos"/>
          <w:szCs w:val="28"/>
          <w:lang w:val="en-GB" w:eastAsia="zh-CN" w:bidi="th-TH"/>
        </w:rPr>
        <w:t>Janke</w:t>
      </w:r>
      <w:r w:rsidR="0020666A">
        <w:rPr>
          <w:rFonts w:ascii="Aptos" w:eastAsia="Aptos" w:hAnsi="Aptos" w:cs="Aptos"/>
          <w:szCs w:val="28"/>
          <w:lang w:val="en-GB" w:eastAsia="zh-CN" w:bidi="th-TH"/>
        </w:rPr>
        <w:t xml:space="preserve"> 2018</w:t>
      </w:r>
      <w:r w:rsidR="00F140F0">
        <w:rPr>
          <w:lang w:val="en-GB" w:eastAsia="zh-CN" w:bidi="th-TH"/>
        </w:rPr>
        <w:t>).</w:t>
      </w:r>
    </w:p>
    <w:p w14:paraId="256EC761" w14:textId="6CAF9930" w:rsidR="00CE6B92" w:rsidRPr="00CE6B92" w:rsidRDefault="00CE6B92" w:rsidP="001B7F4E">
      <w:pPr>
        <w:rPr>
          <w:highlight w:val="white"/>
          <w:lang w:val="en-GB" w:eastAsia="zh-CN" w:bidi="th-TH"/>
        </w:rPr>
      </w:pPr>
      <w:r w:rsidRPr="00CE6B92">
        <w:rPr>
          <w:lang w:val="en-GB" w:eastAsia="zh-CN" w:bidi="th-TH"/>
        </w:rPr>
        <w:t>Different cultural and community institutions have different goals with respect to community engagement and social outcomes. Some institutions are expressly dedicated to effecting change in communities and highly focused on the long</w:t>
      </w:r>
      <w:r w:rsidR="001404FB">
        <w:rPr>
          <w:lang w:val="en-GB" w:eastAsia="zh-CN" w:bidi="th-TH"/>
        </w:rPr>
        <w:noBreakHyphen/>
      </w:r>
      <w:r w:rsidRPr="00CE6B92">
        <w:rPr>
          <w:lang w:val="en-GB" w:eastAsia="zh-CN" w:bidi="th-TH"/>
        </w:rPr>
        <w:t>term outcomes of their engagements, with dedicated funding for data collection, measurement and evaluation. Many more are one</w:t>
      </w:r>
      <w:r w:rsidR="001404FB">
        <w:rPr>
          <w:lang w:val="en-GB" w:eastAsia="zh-CN" w:bidi="th-TH"/>
        </w:rPr>
        <w:noBreakHyphen/>
      </w:r>
      <w:r w:rsidRPr="00CE6B92">
        <w:rPr>
          <w:lang w:val="en-GB" w:eastAsia="zh-CN" w:bidi="th-TH"/>
        </w:rPr>
        <w:t>off or informal projects which rely on anecdotal, approximations of success</w:t>
      </w:r>
      <w:r w:rsidR="00F140F0">
        <w:rPr>
          <w:lang w:val="en-GB" w:eastAsia="zh-CN" w:bidi="th-TH"/>
        </w:rPr>
        <w:t xml:space="preserve"> (</w:t>
      </w:r>
      <w:r w:rsidR="0020666A" w:rsidRPr="00CE6B92">
        <w:rPr>
          <w:rFonts w:ascii="Aptos" w:eastAsia="Aptos" w:hAnsi="Aptos" w:cs="Aptos"/>
          <w:szCs w:val="28"/>
          <w:lang w:val="en-GB" w:eastAsia="zh-CN" w:bidi="th-TH"/>
        </w:rPr>
        <w:t>Benjamin and Doan 2020</w:t>
      </w:r>
      <w:r w:rsidR="0020666A">
        <w:rPr>
          <w:rFonts w:ascii="Aptos" w:eastAsia="Aptos" w:hAnsi="Aptos" w:cs="Aptos"/>
          <w:szCs w:val="28"/>
          <w:lang w:val="en-GB" w:eastAsia="zh-CN" w:bidi="th-TH"/>
        </w:rPr>
        <w:t xml:space="preserve">; </w:t>
      </w:r>
      <w:r w:rsidR="0020666A" w:rsidRPr="00CE6B92">
        <w:rPr>
          <w:rFonts w:ascii="Aptos" w:eastAsia="Aptos" w:hAnsi="Aptos" w:cs="Aptos"/>
          <w:szCs w:val="28"/>
          <w:lang w:val="en-GB" w:eastAsia="zh-CN" w:bidi="th-TH"/>
        </w:rPr>
        <w:t>Bennett</w:t>
      </w:r>
      <w:r w:rsidR="0020666A">
        <w:rPr>
          <w:rFonts w:ascii="Aptos" w:eastAsia="Aptos" w:hAnsi="Aptos" w:cs="Aptos"/>
          <w:szCs w:val="28"/>
          <w:lang w:val="en-GB" w:eastAsia="zh-CN" w:bidi="th-TH"/>
        </w:rPr>
        <w:t xml:space="preserve"> et al. 2020; </w:t>
      </w:r>
      <w:r w:rsidR="00C867AF">
        <w:rPr>
          <w:rFonts w:ascii="Aptos" w:eastAsia="Aptos" w:hAnsi="Aptos" w:cs="Aptos"/>
          <w:szCs w:val="28"/>
          <w:lang w:val="en-GB" w:eastAsia="zh-CN" w:bidi="th-TH"/>
        </w:rPr>
        <w:t xml:space="preserve">Carman 2007; </w:t>
      </w:r>
      <w:r w:rsidR="00C867AF" w:rsidRPr="00CE6B92">
        <w:rPr>
          <w:rFonts w:ascii="Aptos" w:eastAsia="Aptos" w:hAnsi="Aptos" w:cs="Aptos"/>
          <w:szCs w:val="28"/>
          <w:lang w:val="en-GB" w:eastAsia="zh-CN" w:bidi="th-TH"/>
        </w:rPr>
        <w:t>Stevenson</w:t>
      </w:r>
      <w:r w:rsidR="00C867AF">
        <w:rPr>
          <w:rFonts w:ascii="Aptos" w:eastAsia="Aptos" w:hAnsi="Aptos" w:cs="Aptos"/>
          <w:szCs w:val="28"/>
          <w:lang w:val="en-GB" w:eastAsia="zh-CN" w:bidi="th-TH"/>
        </w:rPr>
        <w:t xml:space="preserve"> et al. 2019</w:t>
      </w:r>
      <w:r w:rsidR="00F140F0">
        <w:rPr>
          <w:lang w:val="en-GB" w:eastAsia="zh-CN" w:bidi="th-TH"/>
        </w:rPr>
        <w:t>).</w:t>
      </w:r>
      <w:r w:rsidR="007A42EB">
        <w:rPr>
          <w:lang w:val="en-GB" w:eastAsia="zh-CN" w:bidi="th-TH"/>
        </w:rPr>
        <w:t xml:space="preserve"> </w:t>
      </w:r>
      <w:r w:rsidRPr="00CE6B92">
        <w:rPr>
          <w:lang w:val="en-GB" w:eastAsia="zh-CN" w:bidi="th-TH"/>
        </w:rPr>
        <w:t>Additionally, some research has raised concerns with assessments of cultural and community institutions and the relative success of interventions for achieving social outcomes</w:t>
      </w:r>
      <w:r w:rsidR="00F140F0">
        <w:rPr>
          <w:lang w:val="en-GB" w:eastAsia="zh-CN" w:bidi="th-TH"/>
        </w:rPr>
        <w:t xml:space="preserve"> (</w:t>
      </w:r>
      <w:r w:rsidR="00C867AF" w:rsidRPr="00CE6B92">
        <w:rPr>
          <w:rFonts w:ascii="Aptos" w:eastAsia="Aptos" w:hAnsi="Aptos" w:cs="Aptos"/>
          <w:szCs w:val="28"/>
          <w:lang w:val="en-GB" w:eastAsia="zh-CN" w:bidi="th-TH"/>
        </w:rPr>
        <w:t>MacDowell</w:t>
      </w:r>
      <w:r w:rsidR="00C867AF">
        <w:rPr>
          <w:rFonts w:ascii="Aptos" w:eastAsia="Aptos" w:hAnsi="Aptos" w:cs="Aptos"/>
          <w:szCs w:val="28"/>
          <w:lang w:val="en-GB" w:eastAsia="zh-CN" w:bidi="th-TH"/>
        </w:rPr>
        <w:t xml:space="preserve"> et al. </w:t>
      </w:r>
      <w:r w:rsidR="00114D6A">
        <w:rPr>
          <w:rFonts w:ascii="Aptos" w:eastAsia="Aptos" w:hAnsi="Aptos" w:cs="Aptos"/>
          <w:szCs w:val="28"/>
          <w:lang w:val="en-GB" w:eastAsia="zh-CN" w:bidi="th-TH"/>
        </w:rPr>
        <w:t xml:space="preserve">2015; </w:t>
      </w:r>
      <w:r w:rsidR="00114D6A" w:rsidRPr="00CE6B92">
        <w:rPr>
          <w:rFonts w:ascii="Aptos" w:eastAsia="Aptos" w:hAnsi="Aptos" w:cs="Aptos"/>
          <w:szCs w:val="28"/>
          <w:lang w:val="en-GB" w:eastAsia="zh-CN" w:bidi="th-TH"/>
        </w:rPr>
        <w:t>Carman</w:t>
      </w:r>
      <w:r w:rsidR="00114D6A">
        <w:rPr>
          <w:rFonts w:ascii="Aptos" w:eastAsia="Aptos" w:hAnsi="Aptos" w:cs="Aptos"/>
          <w:szCs w:val="28"/>
          <w:lang w:val="en-GB" w:eastAsia="zh-CN" w:bidi="th-TH"/>
        </w:rPr>
        <w:t xml:space="preserve"> 2007</w:t>
      </w:r>
      <w:r w:rsidR="00F140F0">
        <w:rPr>
          <w:lang w:val="en-GB" w:eastAsia="zh-CN" w:bidi="th-TH"/>
        </w:rPr>
        <w:t>).</w:t>
      </w:r>
    </w:p>
    <w:p w14:paraId="25E389F7" w14:textId="77777777" w:rsidR="00CE6B92" w:rsidRPr="00CE6B92" w:rsidRDefault="00CE6B92" w:rsidP="00EA02B1">
      <w:pPr>
        <w:pStyle w:val="Heading3Numbered"/>
        <w:rPr>
          <w:highlight w:val="white"/>
          <w:lang w:val="en-GB" w:eastAsia="zh-CN" w:bidi="th-TH"/>
        </w:rPr>
      </w:pPr>
      <w:bookmarkStart w:id="32" w:name="_Toc218517316"/>
      <w:r w:rsidRPr="00CE6B92">
        <w:rPr>
          <w:highlight w:val="white"/>
          <w:lang w:val="en-GB" w:eastAsia="zh-CN" w:bidi="th-TH"/>
        </w:rPr>
        <w:lastRenderedPageBreak/>
        <w:t>The plurality of Australian identities</w:t>
      </w:r>
      <w:bookmarkEnd w:id="32"/>
    </w:p>
    <w:p w14:paraId="25308546" w14:textId="2F2C8797" w:rsidR="00CE6B92" w:rsidRPr="00EA02B1" w:rsidRDefault="00CE6B92" w:rsidP="001404FB">
      <w:r w:rsidRPr="00EA02B1">
        <w:t>A single, homogenous national narrative cannot capture the plurality of Australian identities. It may be more likely to divide than unite, thereby contributing to the conditions in which</w:t>
      </w:r>
      <w:r w:rsidR="00EA5229">
        <w:t xml:space="preserve"> mis- </w:t>
      </w:r>
      <w:r w:rsidR="001B7F4E" w:rsidRPr="00EA02B1">
        <w:t>and disinformation</w:t>
      </w:r>
      <w:r w:rsidRPr="00EA02B1">
        <w:t xml:space="preserve"> takes hold. The evidence suggests that national stories with a foundation of enduring values and our rights and responsibilities and which promote a sense of togetherness that embraces plurality are valuable. This</w:t>
      </w:r>
      <w:r w:rsidR="00EA5229">
        <w:t> </w:t>
      </w:r>
      <w:r w:rsidRPr="00EA02B1">
        <w:t>is</w:t>
      </w:r>
      <w:r w:rsidR="008702A4">
        <w:t> </w:t>
      </w:r>
      <w:r w:rsidRPr="00EA02B1">
        <w:t xml:space="preserve">particularly important with respect to the stories and histories of Aboriginal and </w:t>
      </w:r>
      <w:r w:rsidR="00057DF3">
        <w:t>Torres Strait</w:t>
      </w:r>
      <w:r w:rsidRPr="00EA02B1">
        <w:t xml:space="preserve"> Islander people and multicultural communities. Cultural and community institutions provide forums to explore, debate and arrive at a shared sense of who we are, thereby supporting the conditions for inclusive, resilient communities.</w:t>
      </w:r>
    </w:p>
    <w:p w14:paraId="327F3C6C" w14:textId="2183B569" w:rsidR="007A42EB" w:rsidRPr="008702A4" w:rsidRDefault="00CE6B92" w:rsidP="008702A4">
      <w:pPr>
        <w:rPr>
          <w:highlight w:val="white"/>
          <w:lang w:val="en-GB" w:eastAsia="zh-CN" w:bidi="th-TH"/>
        </w:rPr>
      </w:pPr>
      <w:r w:rsidRPr="008702A4">
        <w:rPr>
          <w:highlight w:val="white"/>
          <w:lang w:val="en-GB" w:eastAsia="zh-CN" w:bidi="th-TH"/>
        </w:rPr>
        <w:t>A sense of belonging is an important psychological state with elements of inclusivity in</w:t>
      </w:r>
      <w:r w:rsidR="008702A4">
        <w:rPr>
          <w:highlight w:val="white"/>
          <w:lang w:val="en-GB" w:eastAsia="zh-CN" w:bidi="th-TH"/>
        </w:rPr>
        <w:t> </w:t>
      </w:r>
      <w:r w:rsidRPr="008702A4">
        <w:rPr>
          <w:highlight w:val="white"/>
          <w:lang w:val="en-GB" w:eastAsia="zh-CN" w:bidi="th-TH"/>
        </w:rPr>
        <w:t>particular spaces, places or communities</w:t>
      </w:r>
      <w:r w:rsidR="00F140F0" w:rsidRPr="008702A4">
        <w:rPr>
          <w:highlight w:val="white"/>
          <w:lang w:val="en-GB" w:eastAsia="zh-CN" w:bidi="th-TH"/>
        </w:rPr>
        <w:t xml:space="preserve"> (</w:t>
      </w:r>
      <w:r w:rsidR="00114D6A" w:rsidRPr="008702A4">
        <w:rPr>
          <w:rFonts w:eastAsia="Aptos" w:cs="Aptos"/>
          <w:szCs w:val="28"/>
          <w:lang w:val="en-GB" w:eastAsia="zh-CN" w:bidi="th-TH"/>
        </w:rPr>
        <w:t>van Kooy 2022</w:t>
      </w:r>
      <w:r w:rsidR="00F140F0" w:rsidRPr="008702A4">
        <w:rPr>
          <w:highlight w:val="white"/>
          <w:lang w:val="en-GB" w:eastAsia="zh-CN" w:bidi="th-TH"/>
        </w:rPr>
        <w:t>).</w:t>
      </w:r>
      <w:r w:rsidR="007A42EB" w:rsidRPr="008702A4">
        <w:rPr>
          <w:highlight w:val="white"/>
          <w:lang w:val="en-GB" w:eastAsia="zh-CN" w:bidi="th-TH"/>
        </w:rPr>
        <w:t xml:space="preserve"> </w:t>
      </w:r>
      <w:r w:rsidRPr="008702A4">
        <w:rPr>
          <w:highlight w:val="white"/>
          <w:lang w:val="en-GB" w:eastAsia="zh-CN" w:bidi="th-TH"/>
        </w:rPr>
        <w:t>The breadth of localities, groups</w:t>
      </w:r>
      <w:r w:rsidR="001404FB" w:rsidRPr="008702A4">
        <w:rPr>
          <w:highlight w:val="white"/>
          <w:lang w:val="en-GB" w:eastAsia="zh-CN" w:bidi="th-TH"/>
        </w:rPr>
        <w:t xml:space="preserve"> </w:t>
      </w:r>
      <w:r w:rsidRPr="008702A4">
        <w:rPr>
          <w:highlight w:val="white"/>
          <w:lang w:val="en-GB" w:eastAsia="zh-CN" w:bidi="th-TH"/>
        </w:rPr>
        <w:t>and interests that cultural and community institutions span affords a unique role</w:t>
      </w:r>
      <w:r w:rsidR="008702A4">
        <w:rPr>
          <w:highlight w:val="white"/>
          <w:lang w:val="en-GB" w:eastAsia="zh-CN" w:bidi="th-TH"/>
        </w:rPr>
        <w:t> </w:t>
      </w:r>
      <w:r w:rsidRPr="008702A4">
        <w:rPr>
          <w:highlight w:val="white"/>
          <w:lang w:val="en-GB" w:eastAsia="zh-CN" w:bidi="th-TH"/>
        </w:rPr>
        <w:t>in facilitating bridging ties and opportunities to form shared identities</w:t>
      </w:r>
      <w:r w:rsidR="00F140F0" w:rsidRPr="008702A4">
        <w:rPr>
          <w:highlight w:val="white"/>
          <w:lang w:val="en-GB" w:eastAsia="zh-CN" w:bidi="th-TH"/>
        </w:rPr>
        <w:t xml:space="preserve"> (</w:t>
      </w:r>
      <w:r w:rsidR="00B20AF2" w:rsidRPr="008702A4">
        <w:rPr>
          <w:rFonts w:eastAsia="Aptos" w:cs="Aptos"/>
          <w:szCs w:val="28"/>
          <w:lang w:val="en-GB" w:eastAsia="zh-CN" w:bidi="th-TH"/>
        </w:rPr>
        <w:t xml:space="preserve">Ercan </w:t>
      </w:r>
      <w:r w:rsidR="00685FB9" w:rsidRPr="008702A4">
        <w:rPr>
          <w:rFonts w:eastAsia="Aptos" w:cs="Aptos"/>
          <w:szCs w:val="28"/>
          <w:lang w:val="en-GB" w:eastAsia="zh-CN" w:bidi="th-TH"/>
        </w:rPr>
        <w:t xml:space="preserve">et al. 2022; </w:t>
      </w:r>
      <w:r w:rsidR="00B20AF2" w:rsidRPr="008702A4">
        <w:rPr>
          <w:rFonts w:eastAsia="Aptos" w:cs="Aptos"/>
          <w:szCs w:val="28"/>
          <w:lang w:val="en-GB" w:eastAsia="zh-CN" w:bidi="th-TH"/>
        </w:rPr>
        <w:t>Leigh and Terrell 2020</w:t>
      </w:r>
      <w:r w:rsidR="00114D6A" w:rsidRPr="008702A4">
        <w:rPr>
          <w:lang w:val="en-GB" w:eastAsia="zh-CN" w:bidi="th-TH"/>
        </w:rPr>
        <w:t>;</w:t>
      </w:r>
      <w:r w:rsidR="00B20AF2" w:rsidRPr="008702A4">
        <w:rPr>
          <w:lang w:val="en-GB" w:eastAsia="zh-CN" w:bidi="th-TH"/>
        </w:rPr>
        <w:t xml:space="preserve"> </w:t>
      </w:r>
      <w:r w:rsidR="00B20AF2" w:rsidRPr="008702A4">
        <w:rPr>
          <w:rFonts w:eastAsia="Aptos" w:cs="Aptos"/>
          <w:szCs w:val="28"/>
          <w:lang w:val="en-GB" w:eastAsia="zh-CN" w:bidi="th-TH"/>
        </w:rPr>
        <w:t xml:space="preserve">Strengthening Democracy Taskforce 2024; </w:t>
      </w:r>
      <w:r w:rsidR="00114D6A" w:rsidRPr="008702A4">
        <w:rPr>
          <w:rFonts w:eastAsia="Aptos" w:cs="Aptos"/>
          <w:szCs w:val="28"/>
          <w:lang w:val="en-GB" w:eastAsia="zh-CN" w:bidi="th-TH"/>
        </w:rPr>
        <w:t>van Kooy 2022</w:t>
      </w:r>
      <w:r w:rsidR="00F140F0" w:rsidRPr="008702A4">
        <w:rPr>
          <w:highlight w:val="white"/>
          <w:lang w:val="en-GB" w:eastAsia="zh-CN" w:bidi="th-TH"/>
        </w:rPr>
        <w:t>).</w:t>
      </w:r>
      <w:r w:rsidR="007A42EB" w:rsidRPr="008702A4">
        <w:rPr>
          <w:highlight w:val="white"/>
          <w:lang w:val="en-GB" w:eastAsia="zh-CN" w:bidi="th-TH"/>
        </w:rPr>
        <w:t xml:space="preserve"> </w:t>
      </w:r>
      <w:r w:rsidRPr="008702A4">
        <w:rPr>
          <w:highlight w:val="white"/>
          <w:lang w:val="en-GB" w:eastAsia="zh-CN" w:bidi="th-TH"/>
        </w:rPr>
        <w:t>For</w:t>
      </w:r>
      <w:r w:rsidR="00EA5229" w:rsidRPr="008702A4">
        <w:rPr>
          <w:highlight w:val="white"/>
          <w:lang w:val="en-GB" w:eastAsia="zh-CN" w:bidi="th-TH"/>
        </w:rPr>
        <w:t> </w:t>
      </w:r>
      <w:r w:rsidRPr="008702A4">
        <w:rPr>
          <w:highlight w:val="white"/>
          <w:lang w:val="en-GB" w:eastAsia="zh-CN" w:bidi="th-TH"/>
        </w:rPr>
        <w:t>instance, local sporting clubs and community sponsorship and settlement program been recognised as effective tools for building social networks and developing self</w:t>
      </w:r>
      <w:r w:rsidR="001404FB" w:rsidRPr="008702A4">
        <w:rPr>
          <w:highlight w:val="white"/>
          <w:lang w:val="en-GB" w:eastAsia="zh-CN" w:bidi="th-TH"/>
        </w:rPr>
        <w:noBreakHyphen/>
      </w:r>
      <w:r w:rsidRPr="008702A4">
        <w:rPr>
          <w:highlight w:val="white"/>
          <w:lang w:val="en-GB" w:eastAsia="zh-CN" w:bidi="th-TH"/>
        </w:rPr>
        <w:t>identities among migrant and refugee communities in Australia</w:t>
      </w:r>
      <w:r w:rsidR="00F140F0" w:rsidRPr="008702A4">
        <w:rPr>
          <w:highlight w:val="white"/>
          <w:lang w:val="en-GB" w:eastAsia="zh-CN" w:bidi="th-TH"/>
        </w:rPr>
        <w:t xml:space="preserve"> (</w:t>
      </w:r>
      <w:r w:rsidR="00685FB9" w:rsidRPr="008702A4">
        <w:rPr>
          <w:rFonts w:eastAsia="Aptos" w:cs="Aptos"/>
          <w:szCs w:val="28"/>
          <w:lang w:val="en-GB" w:eastAsia="zh-CN" w:bidi="th-TH"/>
        </w:rPr>
        <w:t>Leigh and Terrell</w:t>
      </w:r>
      <w:r w:rsidR="008702A4">
        <w:rPr>
          <w:rFonts w:eastAsia="Aptos" w:cs="Aptos"/>
          <w:szCs w:val="28"/>
          <w:lang w:val="en-GB" w:eastAsia="zh-CN" w:bidi="th-TH"/>
        </w:rPr>
        <w:t> </w:t>
      </w:r>
      <w:r w:rsidR="00685FB9" w:rsidRPr="008702A4">
        <w:rPr>
          <w:rFonts w:eastAsia="Aptos" w:cs="Aptos"/>
          <w:szCs w:val="28"/>
          <w:lang w:val="en-GB" w:eastAsia="zh-CN" w:bidi="th-TH"/>
        </w:rPr>
        <w:t>2020</w:t>
      </w:r>
      <w:r w:rsidR="00F140F0" w:rsidRPr="008702A4">
        <w:rPr>
          <w:highlight w:val="white"/>
          <w:lang w:val="en-GB" w:eastAsia="zh-CN" w:bidi="th-TH"/>
        </w:rPr>
        <w:t>).</w:t>
      </w:r>
    </w:p>
    <w:p w14:paraId="286C4042" w14:textId="5B23A755" w:rsidR="00CE6B92" w:rsidRPr="008702A4" w:rsidRDefault="00CE6B92" w:rsidP="001B7F4E">
      <w:pPr>
        <w:rPr>
          <w:spacing w:val="-1"/>
          <w:highlight w:val="white"/>
          <w:lang w:val="en-GB" w:eastAsia="zh-CN" w:bidi="th-TH"/>
        </w:rPr>
      </w:pPr>
      <w:r w:rsidRPr="008702A4">
        <w:rPr>
          <w:spacing w:val="-1"/>
          <w:highlight w:val="white"/>
          <w:lang w:val="en-GB" w:eastAsia="zh-CN" w:bidi="th-TH"/>
        </w:rPr>
        <w:t>As formal institutions tasked with collecting, housing and sharing the artefacts and knowledge that underpin national and local stories and identities, GLAMs dominate the literature. Through exhibits, outreach programs and their own organisational values and practices, GLAMs translate complex information, share stories and create forums to reflect on and reinforce what it means to be part of the Australian community</w:t>
      </w:r>
      <w:r w:rsidR="00F140F0" w:rsidRPr="008702A4">
        <w:rPr>
          <w:spacing w:val="-1"/>
          <w:highlight w:val="white"/>
          <w:lang w:val="en-GB" w:eastAsia="zh-CN" w:bidi="th-TH"/>
        </w:rPr>
        <w:t xml:space="preserve"> (</w:t>
      </w:r>
      <w:r w:rsidR="005A0F47" w:rsidRPr="008702A4">
        <w:rPr>
          <w:rFonts w:eastAsia="Aptos" w:cs="Aptos"/>
          <w:spacing w:val="-1"/>
          <w:szCs w:val="28"/>
          <w:lang w:val="en-GB" w:eastAsia="zh-CN" w:bidi="th-TH"/>
        </w:rPr>
        <w:t xml:space="preserve">Evans 2021; </w:t>
      </w:r>
      <w:r w:rsidR="005A0F47" w:rsidRPr="008702A4">
        <w:rPr>
          <w:rFonts w:eastAsia="Aptos" w:cs="Aptos"/>
          <w:spacing w:val="-1"/>
          <w:szCs w:val="28"/>
          <w:lang w:eastAsia="zh-CN" w:bidi="th-TH"/>
        </w:rPr>
        <w:t xml:space="preserve">Rosenberg 2011; </w:t>
      </w:r>
      <w:r w:rsidR="005A0F47" w:rsidRPr="008702A4">
        <w:rPr>
          <w:rFonts w:eastAsia="Aptos" w:cs="Aptos"/>
          <w:spacing w:val="-1"/>
          <w:szCs w:val="28"/>
          <w:lang w:val="en-GB" w:eastAsia="zh-CN" w:bidi="th-TH"/>
        </w:rPr>
        <w:t>Senate Legal and Constitutional Affairs References Committee 2021; Strengthening Democracy Taskforce 2024</w:t>
      </w:r>
      <w:r w:rsidR="00F140F0" w:rsidRPr="008702A4">
        <w:rPr>
          <w:spacing w:val="-1"/>
          <w:highlight w:val="white"/>
          <w:lang w:val="en-GB" w:eastAsia="zh-CN" w:bidi="th-TH"/>
        </w:rPr>
        <w:t>).</w:t>
      </w:r>
      <w:r w:rsidR="007A42EB" w:rsidRPr="008702A4">
        <w:rPr>
          <w:spacing w:val="-1"/>
          <w:lang w:val="en-GB" w:eastAsia="zh-CN" w:bidi="th-TH"/>
        </w:rPr>
        <w:t xml:space="preserve"> </w:t>
      </w:r>
      <w:r w:rsidRPr="008702A4">
        <w:rPr>
          <w:spacing w:val="-1"/>
          <w:lang w:val="en-GB" w:eastAsia="zh-CN" w:bidi="th-TH"/>
        </w:rPr>
        <w:t>History,</w:t>
      </w:r>
      <w:r w:rsidRPr="008702A4">
        <w:rPr>
          <w:spacing w:val="-1"/>
          <w:highlight w:val="white"/>
          <w:lang w:val="en-GB" w:eastAsia="zh-CN" w:bidi="th-TH"/>
        </w:rPr>
        <w:t xml:space="preserve"> culture and identity are dynamic concepts and how Australia’s stories have been understood and told has changed overtime. GLAMs have traditionally been the sites of cultural nationalism, intended to craft a cohesive national narrative</w:t>
      </w:r>
      <w:r w:rsidR="00F140F0" w:rsidRPr="008702A4">
        <w:rPr>
          <w:spacing w:val="-1"/>
          <w:lang w:val="en-GB" w:eastAsia="zh-CN" w:bidi="th-TH"/>
        </w:rPr>
        <w:t xml:space="preserve"> (</w:t>
      </w:r>
      <w:r w:rsidR="005A0F47" w:rsidRPr="008702A4">
        <w:rPr>
          <w:rFonts w:eastAsia="Aptos" w:cs="Aptos"/>
          <w:spacing w:val="-1"/>
          <w:szCs w:val="28"/>
          <w:lang w:val="en-GB" w:eastAsia="zh-CN" w:bidi="th-TH"/>
        </w:rPr>
        <w:t>Joint Standing Committee on the National Capital and External Territories 2019; Senate Legal and Constitutional Affairs References Committee 2021</w:t>
      </w:r>
      <w:r w:rsidR="00F140F0" w:rsidRPr="008702A4">
        <w:rPr>
          <w:spacing w:val="-1"/>
          <w:lang w:val="en-GB" w:eastAsia="zh-CN" w:bidi="th-TH"/>
        </w:rPr>
        <w:t>).</w:t>
      </w:r>
      <w:r w:rsidR="007A42EB" w:rsidRPr="008702A4">
        <w:rPr>
          <w:spacing w:val="-1"/>
          <w:lang w:val="en-GB" w:eastAsia="zh-CN" w:bidi="th-TH"/>
        </w:rPr>
        <w:t xml:space="preserve"> </w:t>
      </w:r>
      <w:r w:rsidRPr="008702A4">
        <w:rPr>
          <w:spacing w:val="-1"/>
          <w:highlight w:val="white"/>
          <w:lang w:val="en-GB" w:eastAsia="zh-CN" w:bidi="th-TH"/>
        </w:rPr>
        <w:t>However, it is increasingly understood that in a modern, multicultural country such as Australia, a homogenous national identity may no longer be the strong source of belonging it once was</w:t>
      </w:r>
      <w:r w:rsidR="00F140F0" w:rsidRPr="008702A4">
        <w:rPr>
          <w:spacing w:val="-1"/>
          <w:lang w:val="en-GB" w:eastAsia="zh-CN" w:bidi="th-TH"/>
        </w:rPr>
        <w:t xml:space="preserve"> (</w:t>
      </w:r>
      <w:r w:rsidR="00160BD8" w:rsidRPr="008702A4">
        <w:rPr>
          <w:rFonts w:eastAsia="Aptos" w:cs="Aptos"/>
          <w:spacing w:val="-1"/>
          <w:szCs w:val="28"/>
          <w:lang w:val="en-GB" w:eastAsia="zh-CN" w:bidi="th-TH"/>
        </w:rPr>
        <w:t>O’Donnell et al. 2024; Senate Legal and Constitutional Affairs References Committee 2021</w:t>
      </w:r>
      <w:r w:rsidR="00F140F0" w:rsidRPr="008702A4">
        <w:rPr>
          <w:spacing w:val="-1"/>
          <w:lang w:val="en-GB" w:eastAsia="zh-CN" w:bidi="th-TH"/>
        </w:rPr>
        <w:t>).</w:t>
      </w:r>
      <w:r w:rsidR="007A42EB" w:rsidRPr="008702A4">
        <w:rPr>
          <w:spacing w:val="-1"/>
          <w:lang w:val="en-GB" w:eastAsia="zh-CN" w:bidi="th-TH"/>
        </w:rPr>
        <w:t xml:space="preserve"> </w:t>
      </w:r>
      <w:r w:rsidRPr="008702A4">
        <w:rPr>
          <w:spacing w:val="-1"/>
          <w:highlight w:val="white"/>
          <w:lang w:val="en-GB" w:eastAsia="zh-CN" w:bidi="th-TH"/>
        </w:rPr>
        <w:t>Experiences of social exclusion</w:t>
      </w:r>
      <w:r w:rsidR="00160BD8" w:rsidRPr="008702A4">
        <w:rPr>
          <w:spacing w:val="-1"/>
          <w:lang w:val="en-GB" w:eastAsia="zh-CN" w:bidi="th-TH"/>
        </w:rPr>
        <w:t xml:space="preserve"> (</w:t>
      </w:r>
      <w:r w:rsidR="00160BD8" w:rsidRPr="008702A4">
        <w:rPr>
          <w:rFonts w:eastAsia="Aptos" w:cs="Aptos"/>
          <w:spacing w:val="-1"/>
          <w:szCs w:val="28"/>
          <w:lang w:val="en-GB" w:eastAsia="zh-CN" w:bidi="th-TH"/>
        </w:rPr>
        <w:t>Hooper-Greenhill et al. 2000; Message 2013; O’Donnell et al. 2024)</w:t>
      </w:r>
      <w:r w:rsidRPr="008702A4">
        <w:rPr>
          <w:spacing w:val="-1"/>
          <w:lang w:val="en-GB" w:eastAsia="zh-CN" w:bidi="th-TH"/>
        </w:rPr>
        <w:t>,</w:t>
      </w:r>
      <w:r w:rsidR="007A42EB" w:rsidRPr="008702A4">
        <w:rPr>
          <w:spacing w:val="-1"/>
          <w:lang w:val="en-GB" w:eastAsia="zh-CN" w:bidi="th-TH"/>
        </w:rPr>
        <w:t xml:space="preserve"> </w:t>
      </w:r>
      <w:r w:rsidRPr="008702A4">
        <w:rPr>
          <w:spacing w:val="-1"/>
          <w:highlight w:val="white"/>
          <w:lang w:val="en-GB" w:eastAsia="zh-CN" w:bidi="th-TH"/>
        </w:rPr>
        <w:t>the history wars</w:t>
      </w:r>
      <w:r w:rsidR="00160BD8" w:rsidRPr="008702A4">
        <w:rPr>
          <w:spacing w:val="-1"/>
          <w:highlight w:val="white"/>
          <w:lang w:val="en-GB" w:eastAsia="zh-CN" w:bidi="th-TH"/>
        </w:rPr>
        <w:t xml:space="preserve"> (</w:t>
      </w:r>
      <w:r w:rsidR="00160BD8" w:rsidRPr="008702A4">
        <w:rPr>
          <w:rFonts w:eastAsia="Aptos" w:cs="Aptos"/>
          <w:spacing w:val="-1"/>
          <w:szCs w:val="28"/>
          <w:lang w:val="en-GB" w:eastAsia="zh-CN" w:bidi="th-TH"/>
        </w:rPr>
        <w:t xml:space="preserve">Darian-Smith </w:t>
      </w:r>
      <w:r w:rsidR="0070386A" w:rsidRPr="008702A4">
        <w:rPr>
          <w:rFonts w:eastAsia="Aptos" w:cs="Aptos"/>
          <w:spacing w:val="-1"/>
          <w:szCs w:val="28"/>
          <w:lang w:val="en-GB" w:eastAsia="zh-CN" w:bidi="th-TH"/>
        </w:rPr>
        <w:t>2017</w:t>
      </w:r>
      <w:r w:rsidR="002E277F" w:rsidRPr="008702A4">
        <w:rPr>
          <w:rFonts w:eastAsia="Aptos" w:cs="Aptos"/>
          <w:spacing w:val="-1"/>
          <w:szCs w:val="28"/>
          <w:lang w:val="en-GB" w:eastAsia="zh-CN" w:bidi="th-TH"/>
        </w:rPr>
        <w:t xml:space="preserve">; </w:t>
      </w:r>
      <w:r w:rsidR="0009645C" w:rsidRPr="008702A4">
        <w:rPr>
          <w:rFonts w:eastAsia="Aptos" w:cs="Aptos"/>
          <w:spacing w:val="-1"/>
          <w:szCs w:val="28"/>
          <w:lang w:val="en-GB" w:eastAsia="zh-CN" w:bidi="th-TH"/>
        </w:rPr>
        <w:t>Jones 2023; McIntyre and Clark 2013)</w:t>
      </w:r>
      <w:r w:rsidRPr="008702A4">
        <w:rPr>
          <w:spacing w:val="-1"/>
          <w:highlight w:val="white"/>
          <w:lang w:val="en-GB" w:eastAsia="zh-CN" w:bidi="th-TH"/>
        </w:rPr>
        <w:t>,</w:t>
      </w:r>
      <w:r w:rsidR="007A42EB" w:rsidRPr="008702A4">
        <w:rPr>
          <w:spacing w:val="-1"/>
          <w:highlight w:val="white"/>
          <w:lang w:val="en-GB" w:eastAsia="zh-CN" w:bidi="th-TH"/>
        </w:rPr>
        <w:t xml:space="preserve"> </w:t>
      </w:r>
      <w:r w:rsidRPr="008702A4">
        <w:rPr>
          <w:spacing w:val="-1"/>
          <w:highlight w:val="white"/>
          <w:lang w:val="en-GB" w:eastAsia="zh-CN" w:bidi="th-TH"/>
        </w:rPr>
        <w:t>an increasingly diverse and fragmented public realm and the oppositional, argumentative character of public discourse</w:t>
      </w:r>
      <w:r w:rsidR="0009645C" w:rsidRPr="008702A4">
        <w:rPr>
          <w:spacing w:val="-1"/>
          <w:highlight w:val="white"/>
          <w:lang w:val="en-GB" w:eastAsia="zh-CN" w:bidi="th-TH"/>
        </w:rPr>
        <w:t xml:space="preserve"> (</w:t>
      </w:r>
      <w:r w:rsidR="0009645C" w:rsidRPr="008702A4">
        <w:rPr>
          <w:rFonts w:eastAsia="Aptos" w:cs="Aptos"/>
          <w:spacing w:val="-1"/>
          <w:szCs w:val="28"/>
          <w:lang w:val="en-GB" w:eastAsia="zh-CN" w:bidi="th-TH"/>
        </w:rPr>
        <w:t>Turner 2023)</w:t>
      </w:r>
      <w:r w:rsidR="007A42EB" w:rsidRPr="008702A4">
        <w:rPr>
          <w:rFonts w:eastAsia="Aptos" w:cs="Aptos"/>
          <w:spacing w:val="-1"/>
          <w:szCs w:val="28"/>
          <w:lang w:val="en-GB" w:eastAsia="zh-CN" w:bidi="th-TH"/>
        </w:rPr>
        <w:t xml:space="preserve"> </w:t>
      </w:r>
      <w:r w:rsidRPr="008702A4">
        <w:rPr>
          <w:spacing w:val="-1"/>
          <w:highlight w:val="white"/>
          <w:lang w:val="en-GB" w:eastAsia="zh-CN" w:bidi="th-TH"/>
        </w:rPr>
        <w:t>demonstrate that such narratives often divide, rather than unite.</w:t>
      </w:r>
    </w:p>
    <w:p w14:paraId="2C095423" w14:textId="460B4947" w:rsidR="007A42EB" w:rsidRPr="008702A4" w:rsidRDefault="00CE6B92" w:rsidP="001B7F4E">
      <w:pPr>
        <w:rPr>
          <w:spacing w:val="-2"/>
          <w:lang w:val="en-GB" w:eastAsia="zh-CN" w:bidi="th-TH"/>
        </w:rPr>
      </w:pPr>
      <w:r w:rsidRPr="008702A4">
        <w:rPr>
          <w:spacing w:val="-2"/>
          <w:highlight w:val="white"/>
          <w:lang w:val="en-GB" w:eastAsia="zh-CN" w:bidi="th-TH"/>
        </w:rPr>
        <w:t xml:space="preserve">The plurality of Australian identities begins with the false doctrine of </w:t>
      </w:r>
      <w:r w:rsidRPr="008702A4">
        <w:rPr>
          <w:rStyle w:val="Emphasis"/>
          <w:highlight w:val="white"/>
        </w:rPr>
        <w:t>terra nullius</w:t>
      </w:r>
      <w:r w:rsidRPr="008702A4">
        <w:rPr>
          <w:spacing w:val="-2"/>
          <w:highlight w:val="white"/>
          <w:lang w:val="en-GB" w:eastAsia="zh-CN" w:bidi="th-TH"/>
        </w:rPr>
        <w:t xml:space="preserve">, on which British possession of Australia was based. This, in turn, dominated how the Australian story has been told. The overturning of </w:t>
      </w:r>
      <w:r w:rsidRPr="008702A4">
        <w:rPr>
          <w:rStyle w:val="Emphasis"/>
          <w:highlight w:val="white"/>
        </w:rPr>
        <w:t xml:space="preserve">terra nullius </w:t>
      </w:r>
      <w:r w:rsidRPr="008702A4">
        <w:rPr>
          <w:spacing w:val="-2"/>
          <w:highlight w:val="white"/>
          <w:lang w:val="en-GB" w:eastAsia="zh-CN" w:bidi="th-TH"/>
        </w:rPr>
        <w:t>fundamentally changed the understanding and timespan of Australian history, providing the impetus for new fields of research and opportunities to learn from Indigenous knowledge systems and inter</w:t>
      </w:r>
      <w:r w:rsidR="001404FB" w:rsidRPr="008702A4">
        <w:rPr>
          <w:spacing w:val="-2"/>
          <w:highlight w:val="white"/>
          <w:lang w:val="en-GB" w:eastAsia="zh-CN" w:bidi="th-TH"/>
        </w:rPr>
        <w:noBreakHyphen/>
      </w:r>
      <w:r w:rsidRPr="008702A4">
        <w:rPr>
          <w:spacing w:val="-2"/>
          <w:highlight w:val="white"/>
          <w:lang w:val="en-GB" w:eastAsia="zh-CN" w:bidi="th-TH"/>
        </w:rPr>
        <w:t>cultural conversations</w:t>
      </w:r>
      <w:r w:rsidR="00F140F0" w:rsidRPr="008702A4">
        <w:rPr>
          <w:spacing w:val="-2"/>
          <w:lang w:val="en-GB" w:eastAsia="zh-CN" w:bidi="th-TH"/>
        </w:rPr>
        <w:t xml:space="preserve"> (</w:t>
      </w:r>
      <w:r w:rsidR="00F83156" w:rsidRPr="008702A4">
        <w:rPr>
          <w:rFonts w:eastAsia="Aptos" w:cs="Aptos"/>
          <w:spacing w:val="-2"/>
          <w:lang w:eastAsia="zh-CN" w:bidi="th-TH"/>
        </w:rPr>
        <w:t>McGrath et al. 2021</w:t>
      </w:r>
      <w:r w:rsidR="00F140F0" w:rsidRPr="008702A4">
        <w:rPr>
          <w:spacing w:val="-2"/>
          <w:lang w:val="en-GB" w:eastAsia="zh-CN" w:bidi="th-TH"/>
        </w:rPr>
        <w:t>).</w:t>
      </w:r>
      <w:r w:rsidR="007A42EB" w:rsidRPr="008702A4">
        <w:rPr>
          <w:spacing w:val="-2"/>
          <w:lang w:val="en-GB" w:eastAsia="zh-CN" w:bidi="th-TH"/>
        </w:rPr>
        <w:t xml:space="preserve"> </w:t>
      </w:r>
      <w:r w:rsidRPr="008702A4">
        <w:rPr>
          <w:spacing w:val="-2"/>
          <w:lang w:val="en-GB" w:eastAsia="zh-CN" w:bidi="th-TH"/>
        </w:rPr>
        <w:t xml:space="preserve">From this perspective, the resilience of </w:t>
      </w:r>
      <w:r w:rsidRPr="008702A4">
        <w:rPr>
          <w:spacing w:val="-2"/>
          <w:lang w:val="en-GB" w:eastAsia="zh-CN" w:bidi="th-TH"/>
        </w:rPr>
        <w:lastRenderedPageBreak/>
        <w:t>Australian society can be said to stem from our collective capacity to look at our past with honesty and maturity, and to embrace the deep histories of the First</w:t>
      </w:r>
      <w:r w:rsidR="008702A4">
        <w:rPr>
          <w:spacing w:val="-2"/>
          <w:lang w:val="en-GB" w:eastAsia="zh-CN" w:bidi="th-TH"/>
        </w:rPr>
        <w:t> </w:t>
      </w:r>
      <w:r w:rsidRPr="008702A4">
        <w:rPr>
          <w:spacing w:val="-2"/>
          <w:lang w:val="en-GB" w:eastAsia="zh-CN" w:bidi="th-TH"/>
        </w:rPr>
        <w:t>Peoples of Australia</w:t>
      </w:r>
      <w:r w:rsidR="00F140F0" w:rsidRPr="008702A4">
        <w:rPr>
          <w:spacing w:val="-2"/>
          <w:lang w:val="en-GB" w:eastAsia="zh-CN" w:bidi="th-TH"/>
        </w:rPr>
        <w:t xml:space="preserve"> (</w:t>
      </w:r>
      <w:r w:rsidR="00F83156" w:rsidRPr="008702A4">
        <w:rPr>
          <w:rFonts w:eastAsia="Aptos" w:cs="Aptos"/>
          <w:spacing w:val="-2"/>
          <w:szCs w:val="28"/>
          <w:lang w:val="en-GB" w:eastAsia="zh-CN" w:bidi="th-TH"/>
        </w:rPr>
        <w:t>Birch 2021; Senate Legal and Constitutional Affairs References Committee 2021</w:t>
      </w:r>
      <w:r w:rsidR="00F140F0" w:rsidRPr="008702A4">
        <w:rPr>
          <w:spacing w:val="-2"/>
          <w:lang w:val="en-GB" w:eastAsia="zh-CN" w:bidi="th-TH"/>
        </w:rPr>
        <w:t>).</w:t>
      </w:r>
    </w:p>
    <w:p w14:paraId="343AD455" w14:textId="77777777" w:rsidR="007A42EB" w:rsidRDefault="00CE6B92" w:rsidP="001B7F4E">
      <w:pPr>
        <w:rPr>
          <w:lang w:val="en-GB" w:eastAsia="zh-CN" w:bidi="th-TH"/>
        </w:rPr>
      </w:pPr>
      <w:r w:rsidRPr="00CE6B92">
        <w:rPr>
          <w:lang w:val="en-GB" w:eastAsia="zh-CN" w:bidi="th-TH"/>
        </w:rPr>
        <w:t>National, state and regional cultural institutions have an important role to play</w:t>
      </w:r>
      <w:r w:rsidR="00F140F0">
        <w:rPr>
          <w:lang w:val="en-GB" w:eastAsia="zh-CN" w:bidi="th-TH"/>
        </w:rPr>
        <w:t xml:space="preserve"> (</w:t>
      </w:r>
      <w:r w:rsidR="00F83156" w:rsidRPr="00CE6B92">
        <w:rPr>
          <w:rFonts w:ascii="Aptos" w:eastAsia="Aptos" w:hAnsi="Aptos" w:cs="Aptos"/>
          <w:szCs w:val="28"/>
          <w:lang w:val="en-GB" w:eastAsia="zh-CN" w:bidi="th-TH"/>
        </w:rPr>
        <w:t>Commonwealth of Australia 2023</w:t>
      </w:r>
      <w:r w:rsidR="00F83156">
        <w:rPr>
          <w:rFonts w:ascii="Aptos" w:eastAsia="Aptos" w:hAnsi="Aptos" w:cs="Aptos"/>
          <w:szCs w:val="28"/>
          <w:lang w:val="en-GB" w:eastAsia="zh-CN" w:bidi="th-TH"/>
        </w:rPr>
        <w:t xml:space="preserve">; </w:t>
      </w:r>
      <w:r w:rsidR="00D520BD" w:rsidRPr="00CE6B92">
        <w:rPr>
          <w:rFonts w:ascii="Aptos" w:eastAsia="Aptos" w:hAnsi="Aptos" w:cs="Aptos"/>
          <w:szCs w:val="28"/>
          <w:lang w:val="en-GB" w:eastAsia="zh-CN" w:bidi="th-TH"/>
        </w:rPr>
        <w:t>De Brasi</w:t>
      </w:r>
      <w:r w:rsidR="00D520BD">
        <w:rPr>
          <w:rFonts w:ascii="Aptos" w:eastAsia="Aptos" w:hAnsi="Aptos" w:cs="Aptos"/>
          <w:szCs w:val="28"/>
          <w:lang w:val="en-GB" w:eastAsia="zh-CN" w:bidi="th-TH"/>
        </w:rPr>
        <w:t xml:space="preserve"> et al. 2024; </w:t>
      </w:r>
      <w:r w:rsidR="00D520BD" w:rsidRPr="00CE6B92">
        <w:rPr>
          <w:rFonts w:ascii="Aptos" w:eastAsia="Aptos" w:hAnsi="Aptos" w:cs="Aptos"/>
          <w:szCs w:val="28"/>
          <w:lang w:val="en-GB" w:eastAsia="zh-CN" w:bidi="th-TH"/>
        </w:rPr>
        <w:t>Janke</w:t>
      </w:r>
      <w:r w:rsidR="00D520BD">
        <w:rPr>
          <w:rFonts w:ascii="Aptos" w:eastAsia="Aptos" w:hAnsi="Aptos" w:cs="Aptos"/>
          <w:szCs w:val="28"/>
          <w:lang w:val="en-GB" w:eastAsia="zh-CN" w:bidi="th-TH"/>
        </w:rPr>
        <w:t xml:space="preserve"> 2018</w:t>
      </w:r>
      <w:r w:rsidR="00F140F0">
        <w:rPr>
          <w:lang w:val="en-GB" w:eastAsia="zh-CN" w:bidi="th-TH"/>
        </w:rPr>
        <w:t>).</w:t>
      </w:r>
      <w:r w:rsidR="007A42EB">
        <w:rPr>
          <w:lang w:val="en-GB" w:eastAsia="zh-CN" w:bidi="th-TH"/>
        </w:rPr>
        <w:t xml:space="preserve"> </w:t>
      </w:r>
      <w:r w:rsidRPr="00CE6B92">
        <w:rPr>
          <w:lang w:val="en-GB" w:eastAsia="zh-CN" w:bidi="th-TH"/>
        </w:rPr>
        <w:t xml:space="preserve">There is a growing practice of decolonising library and archive collections, where librarians and archivists work closely with Aboriginal and </w:t>
      </w:r>
      <w:r w:rsidR="00057DF3">
        <w:rPr>
          <w:lang w:val="en-GB" w:eastAsia="zh-CN" w:bidi="th-TH"/>
        </w:rPr>
        <w:t>Torres Strait</w:t>
      </w:r>
      <w:r w:rsidRPr="00CE6B92">
        <w:rPr>
          <w:lang w:val="en-GB" w:eastAsia="zh-CN" w:bidi="th-TH"/>
        </w:rPr>
        <w:t xml:space="preserve"> Islander communities to review materials, enhance findability and embrace plural knowledges</w:t>
      </w:r>
      <w:r w:rsidR="00F140F0">
        <w:rPr>
          <w:lang w:val="en-GB" w:eastAsia="zh-CN" w:bidi="th-TH"/>
        </w:rPr>
        <w:t xml:space="preserve"> (</w:t>
      </w:r>
      <w:r w:rsidR="00D520BD" w:rsidRPr="00CE6B92">
        <w:rPr>
          <w:rFonts w:ascii="Aptos" w:eastAsia="Aptos" w:hAnsi="Aptos" w:cs="Aptos"/>
          <w:szCs w:val="28"/>
          <w:lang w:val="en-GB" w:eastAsia="zh-CN" w:bidi="th-TH"/>
        </w:rPr>
        <w:t>Jimenez</w:t>
      </w:r>
      <w:r w:rsidR="00D520BD">
        <w:rPr>
          <w:rFonts w:ascii="Aptos" w:eastAsia="Aptos" w:hAnsi="Aptos" w:cs="Aptos"/>
          <w:szCs w:val="28"/>
          <w:lang w:val="en-GB" w:eastAsia="zh-CN" w:bidi="th-TH"/>
        </w:rPr>
        <w:t xml:space="preserve"> et al. 2022</w:t>
      </w:r>
      <w:r w:rsidR="00E53A6F">
        <w:rPr>
          <w:rFonts w:ascii="Aptos" w:eastAsia="Aptos" w:hAnsi="Aptos" w:cs="Aptos"/>
          <w:szCs w:val="28"/>
          <w:lang w:val="en-GB" w:eastAsia="zh-CN" w:bidi="th-TH"/>
        </w:rPr>
        <w:t xml:space="preserve">; </w:t>
      </w:r>
      <w:proofErr w:type="spellStart"/>
      <w:r w:rsidR="00880917" w:rsidRPr="00CE6B92">
        <w:rPr>
          <w:rFonts w:ascii="Aptos" w:eastAsia="Aptos" w:hAnsi="Aptos" w:cs="Aptos"/>
          <w:szCs w:val="28"/>
          <w:lang w:val="en-GB" w:eastAsia="zh-CN" w:bidi="th-TH"/>
        </w:rPr>
        <w:t>Mamtora</w:t>
      </w:r>
      <w:proofErr w:type="spellEnd"/>
      <w:r w:rsidR="00880917">
        <w:rPr>
          <w:rFonts w:ascii="Aptos" w:eastAsia="Aptos" w:hAnsi="Aptos" w:cs="Aptos"/>
          <w:szCs w:val="28"/>
          <w:lang w:val="en-GB" w:eastAsia="zh-CN" w:bidi="th-TH"/>
        </w:rPr>
        <w:t xml:space="preserve"> et al. 2021</w:t>
      </w:r>
      <w:r w:rsidR="005C4AD0">
        <w:rPr>
          <w:rFonts w:ascii="Aptos" w:eastAsia="Aptos" w:hAnsi="Aptos" w:cs="Aptos"/>
          <w:szCs w:val="28"/>
          <w:lang w:val="en-GB" w:eastAsia="zh-CN" w:bidi="th-TH"/>
        </w:rPr>
        <w:t xml:space="preserve">; </w:t>
      </w:r>
      <w:r w:rsidR="005C4AD0" w:rsidRPr="00CE6B92">
        <w:rPr>
          <w:rFonts w:ascii="Aptos" w:eastAsia="Aptos" w:hAnsi="Aptos" w:cs="Aptos"/>
          <w:szCs w:val="28"/>
          <w:lang w:val="en-GB" w:eastAsia="zh-CN" w:bidi="th-TH"/>
        </w:rPr>
        <w:t>Barrowcliffe</w:t>
      </w:r>
      <w:r w:rsidR="005C4AD0">
        <w:rPr>
          <w:rFonts w:ascii="Aptos" w:eastAsia="Aptos" w:hAnsi="Aptos" w:cs="Aptos"/>
          <w:szCs w:val="28"/>
          <w:lang w:val="en-GB" w:eastAsia="zh-CN" w:bidi="th-TH"/>
        </w:rPr>
        <w:t xml:space="preserve"> 2021</w:t>
      </w:r>
      <w:r w:rsidR="00F140F0">
        <w:rPr>
          <w:lang w:val="en-GB" w:eastAsia="zh-CN" w:bidi="th-TH"/>
        </w:rPr>
        <w:t>).</w:t>
      </w:r>
      <w:r w:rsidR="007A42EB">
        <w:rPr>
          <w:lang w:val="en-GB" w:eastAsia="zh-CN" w:bidi="th-TH"/>
        </w:rPr>
        <w:t xml:space="preserve"> </w:t>
      </w:r>
      <w:r w:rsidRPr="00CE6B92">
        <w:rPr>
          <w:lang w:val="en-GB" w:eastAsia="zh-CN" w:bidi="th-TH"/>
        </w:rPr>
        <w:t>In some communities, Indigenous and non</w:t>
      </w:r>
      <w:r w:rsidR="001404FB">
        <w:rPr>
          <w:lang w:val="en-GB" w:eastAsia="zh-CN" w:bidi="th-TH"/>
        </w:rPr>
        <w:noBreakHyphen/>
      </w:r>
      <w:r w:rsidRPr="00CE6B92">
        <w:rPr>
          <w:lang w:val="en-GB" w:eastAsia="zh-CN" w:bidi="th-TH"/>
        </w:rPr>
        <w:t>Indigenous Australians have worked together to commemorate past acts of violence and account for the misuse of ancestral remains and cultural heritage material</w:t>
      </w:r>
      <w:r w:rsidR="00F140F0">
        <w:rPr>
          <w:lang w:val="en-GB" w:eastAsia="zh-CN" w:bidi="th-TH"/>
        </w:rPr>
        <w:t xml:space="preserve"> (</w:t>
      </w:r>
      <w:r w:rsidR="005C4AD0" w:rsidRPr="00CE6B92">
        <w:rPr>
          <w:rFonts w:ascii="Aptos" w:eastAsia="Aptos" w:hAnsi="Aptos" w:cs="Aptos"/>
          <w:szCs w:val="28"/>
          <w:lang w:val="en-GB" w:eastAsia="zh-CN" w:bidi="th-TH"/>
        </w:rPr>
        <w:t>Australian Academy of the Humanities 2023</w:t>
      </w:r>
      <w:r w:rsidR="005C4AD0">
        <w:rPr>
          <w:rFonts w:ascii="Aptos" w:eastAsia="Aptos" w:hAnsi="Aptos" w:cs="Aptos"/>
          <w:szCs w:val="28"/>
          <w:lang w:val="en-GB" w:eastAsia="zh-CN" w:bidi="th-TH"/>
        </w:rPr>
        <w:t xml:space="preserve">; </w:t>
      </w:r>
      <w:r w:rsidR="005C4AD0" w:rsidRPr="00CE6B92">
        <w:rPr>
          <w:rFonts w:ascii="Aptos" w:eastAsia="Aptos" w:hAnsi="Aptos" w:cs="Aptos"/>
          <w:szCs w:val="28"/>
          <w:lang w:val="en-GB" w:eastAsia="zh-CN" w:bidi="th-TH"/>
        </w:rPr>
        <w:t>Carlson and Farrelly 2023</w:t>
      </w:r>
      <w:r w:rsidR="005C4AD0">
        <w:rPr>
          <w:rFonts w:ascii="Aptos" w:eastAsia="Aptos" w:hAnsi="Aptos" w:cs="Aptos"/>
          <w:szCs w:val="28"/>
          <w:lang w:val="en-GB" w:eastAsia="zh-CN" w:bidi="th-TH"/>
        </w:rPr>
        <w:t xml:space="preserve">; </w:t>
      </w:r>
      <w:r w:rsidR="005C4AD0" w:rsidRPr="00CE6B92">
        <w:rPr>
          <w:rFonts w:ascii="Aptos" w:eastAsia="Aptos" w:hAnsi="Aptos" w:cs="Aptos"/>
          <w:szCs w:val="28"/>
          <w:lang w:val="en-GB" w:eastAsia="zh-CN" w:bidi="th-TH"/>
        </w:rPr>
        <w:t>Edmonds 2016</w:t>
      </w:r>
      <w:r w:rsidR="00F140F0">
        <w:rPr>
          <w:lang w:val="en-GB" w:eastAsia="zh-CN" w:bidi="th-TH"/>
        </w:rPr>
        <w:t>).</w:t>
      </w:r>
      <w:r w:rsidR="007A42EB">
        <w:rPr>
          <w:lang w:val="en-GB" w:eastAsia="zh-CN" w:bidi="th-TH"/>
        </w:rPr>
        <w:t xml:space="preserve"> </w:t>
      </w:r>
      <w:r w:rsidRPr="00CE6B92">
        <w:rPr>
          <w:lang w:val="en-GB" w:eastAsia="zh-CN" w:bidi="th-TH"/>
        </w:rPr>
        <w:t xml:space="preserve">These actions are not an end in </w:t>
      </w:r>
      <w:proofErr w:type="gramStart"/>
      <w:r w:rsidRPr="00CE6B92">
        <w:rPr>
          <w:lang w:val="en-GB" w:eastAsia="zh-CN" w:bidi="th-TH"/>
        </w:rPr>
        <w:t>themselves, but</w:t>
      </w:r>
      <w:proofErr w:type="gramEnd"/>
      <w:r w:rsidRPr="00CE6B92">
        <w:rPr>
          <w:lang w:val="en-GB" w:eastAsia="zh-CN" w:bidi="th-TH"/>
        </w:rPr>
        <w:t xml:space="preserve"> provide an opportunity for truth telling and to debate and arrive at more expansive historical interpretations and shared realities that bridge social and cultural divides</w:t>
      </w:r>
      <w:r w:rsidR="00F140F0">
        <w:rPr>
          <w:lang w:val="en-GB" w:eastAsia="zh-CN" w:bidi="th-TH"/>
        </w:rPr>
        <w:t xml:space="preserve"> (</w:t>
      </w:r>
      <w:r w:rsidR="005C4AD0" w:rsidRPr="00CE6B92">
        <w:rPr>
          <w:rFonts w:ascii="Aptos" w:eastAsia="Aptos" w:hAnsi="Aptos" w:cs="Aptos"/>
          <w:szCs w:val="28"/>
          <w:lang w:val="en-GB" w:eastAsia="zh-CN" w:bidi="th-TH"/>
        </w:rPr>
        <w:t>Attwood 2009</w:t>
      </w:r>
      <w:r w:rsidR="005C4AD0">
        <w:rPr>
          <w:rFonts w:ascii="Aptos" w:eastAsia="Aptos" w:hAnsi="Aptos" w:cs="Aptos"/>
          <w:szCs w:val="28"/>
          <w:lang w:val="en-GB" w:eastAsia="zh-CN" w:bidi="th-TH"/>
        </w:rPr>
        <w:t xml:space="preserve">; </w:t>
      </w:r>
      <w:r w:rsidR="005C4AD0" w:rsidRPr="00CE6B92">
        <w:rPr>
          <w:rFonts w:ascii="Aptos" w:eastAsia="Aptos" w:hAnsi="Aptos" w:cs="Aptos"/>
          <w:szCs w:val="28"/>
          <w:lang w:val="en-GB" w:eastAsia="zh-CN" w:bidi="th-TH"/>
        </w:rPr>
        <w:t>Cameron and Neilson 2015</w:t>
      </w:r>
      <w:r w:rsidR="005C4AD0">
        <w:rPr>
          <w:rFonts w:ascii="Aptos" w:eastAsia="Aptos" w:hAnsi="Aptos" w:cs="Aptos"/>
          <w:szCs w:val="28"/>
          <w:lang w:val="en-GB" w:eastAsia="zh-CN" w:bidi="th-TH"/>
        </w:rPr>
        <w:t xml:space="preserve">; </w:t>
      </w:r>
      <w:r w:rsidR="005C4AD0" w:rsidRPr="00CE6B92">
        <w:rPr>
          <w:rFonts w:ascii="Aptos" w:eastAsia="Aptos" w:hAnsi="Aptos" w:cs="Aptos"/>
          <w:szCs w:val="28"/>
          <w:lang w:val="en-GB" w:eastAsia="zh-CN" w:bidi="th-TH"/>
        </w:rPr>
        <w:t>Edmonds 2016</w:t>
      </w:r>
      <w:r w:rsidR="00F140F0">
        <w:rPr>
          <w:lang w:val="en-GB" w:eastAsia="zh-CN" w:bidi="th-TH"/>
        </w:rPr>
        <w:t>).</w:t>
      </w:r>
    </w:p>
    <w:p w14:paraId="7FD17DBF" w14:textId="2B5D455D" w:rsidR="00CE6B92" w:rsidRPr="00CE6B92" w:rsidRDefault="00CE6B92" w:rsidP="001B7F4E">
      <w:pPr>
        <w:rPr>
          <w:highlight w:val="white"/>
          <w:lang w:val="en-GB" w:eastAsia="zh-CN" w:bidi="th-TH"/>
        </w:rPr>
      </w:pPr>
      <w:r w:rsidRPr="00CE6B92">
        <w:rPr>
          <w:lang w:val="en-GB" w:eastAsia="zh-CN" w:bidi="th-TH"/>
        </w:rPr>
        <w:t xml:space="preserve">As </w:t>
      </w:r>
      <w:r w:rsidRPr="00CE6B92">
        <w:rPr>
          <w:highlight w:val="white"/>
          <w:lang w:val="en-GB" w:eastAsia="zh-CN" w:bidi="th-TH"/>
        </w:rPr>
        <w:t xml:space="preserve">Aboriginal and </w:t>
      </w:r>
      <w:r w:rsidR="00057DF3">
        <w:rPr>
          <w:highlight w:val="white"/>
          <w:lang w:val="en-GB" w:eastAsia="zh-CN" w:bidi="th-TH"/>
        </w:rPr>
        <w:t>Torres Strait</w:t>
      </w:r>
      <w:r w:rsidRPr="00CE6B92">
        <w:rPr>
          <w:highlight w:val="white"/>
          <w:lang w:val="en-GB" w:eastAsia="zh-CN" w:bidi="th-TH"/>
        </w:rPr>
        <w:t xml:space="preserve"> Islander cultures and histories have been increasingly embraced, so too has space been made for other stories and identities. </w:t>
      </w:r>
      <w:r w:rsidRPr="00CE6B92">
        <w:rPr>
          <w:szCs w:val="24"/>
          <w:lang w:val="en-GB" w:eastAsia="zh-CN" w:bidi="th-TH"/>
        </w:rPr>
        <w:t>T</w:t>
      </w:r>
      <w:r w:rsidRPr="00CE6B92">
        <w:rPr>
          <w:highlight w:val="white"/>
          <w:lang w:val="en-GB" w:eastAsia="zh-CN" w:bidi="th-TH"/>
        </w:rPr>
        <w:t>he ‘</w:t>
      </w:r>
      <w:r w:rsidR="00EA5229">
        <w:rPr>
          <w:highlight w:val="white"/>
          <w:lang w:val="en-GB" w:eastAsia="zh-CN" w:bidi="th-TH"/>
        </w:rPr>
        <w:t>3</w:t>
      </w:r>
      <w:r w:rsidRPr="00CE6B92">
        <w:rPr>
          <w:highlight w:val="white"/>
          <w:lang w:val="en-GB" w:eastAsia="zh-CN" w:bidi="th-TH"/>
        </w:rPr>
        <w:t xml:space="preserve"> great steams’ model of telling the national story was constructed by Noel Pearson and the Referendum Council. It incorporates </w:t>
      </w:r>
      <w:r w:rsidR="00EA5229">
        <w:rPr>
          <w:highlight w:val="white"/>
          <w:lang w:val="en-GB" w:eastAsia="zh-CN" w:bidi="th-TH"/>
        </w:rPr>
        <w:t>3</w:t>
      </w:r>
      <w:r w:rsidRPr="00CE6B92">
        <w:rPr>
          <w:highlight w:val="white"/>
          <w:lang w:val="en-GB" w:eastAsia="zh-CN" w:bidi="th-TH"/>
        </w:rPr>
        <w:t xml:space="preserve"> interrelated components: </w:t>
      </w:r>
    </w:p>
    <w:p w14:paraId="22D20C1D" w14:textId="3A06FE70" w:rsidR="00CE6B92" w:rsidRPr="00CE6B92" w:rsidRDefault="00EA5229" w:rsidP="00590BA3">
      <w:pPr>
        <w:pStyle w:val="ListParagraph"/>
        <w:rPr>
          <w:lang w:val="en-GB" w:eastAsia="zh-CN" w:bidi="th-TH"/>
        </w:rPr>
      </w:pPr>
      <w:r>
        <w:rPr>
          <w:highlight w:val="white"/>
          <w:lang w:val="en-GB" w:eastAsia="zh-CN" w:bidi="th-TH"/>
        </w:rPr>
        <w:t>t</w:t>
      </w:r>
      <w:r w:rsidR="00CE6B92" w:rsidRPr="00CE6B92">
        <w:rPr>
          <w:highlight w:val="white"/>
          <w:lang w:val="en-GB" w:eastAsia="zh-CN" w:bidi="th-TH"/>
        </w:rPr>
        <w:t xml:space="preserve">he lives and cultures of Aboriginal and </w:t>
      </w:r>
      <w:r w:rsidR="00057DF3">
        <w:rPr>
          <w:highlight w:val="white"/>
          <w:lang w:val="en-GB" w:eastAsia="zh-CN" w:bidi="th-TH"/>
        </w:rPr>
        <w:t>Torres Strait</w:t>
      </w:r>
      <w:r w:rsidR="00CE6B92" w:rsidRPr="00CE6B92">
        <w:rPr>
          <w:highlight w:val="white"/>
          <w:lang w:val="en-GB" w:eastAsia="zh-CN" w:bidi="th-TH"/>
        </w:rPr>
        <w:t xml:space="preserve"> Islander people, which is the foundation</w:t>
      </w:r>
    </w:p>
    <w:p w14:paraId="6F277499" w14:textId="395BD9C4" w:rsidR="00CE6B92" w:rsidRPr="00CE6B92" w:rsidRDefault="00EA5229" w:rsidP="00590BA3">
      <w:pPr>
        <w:pStyle w:val="ListParagraph"/>
        <w:rPr>
          <w:lang w:val="en-GB" w:eastAsia="zh-CN" w:bidi="th-TH"/>
        </w:rPr>
      </w:pPr>
      <w:r>
        <w:rPr>
          <w:highlight w:val="white"/>
          <w:lang w:val="en-GB" w:eastAsia="zh-CN" w:bidi="th-TH"/>
        </w:rPr>
        <w:t>t</w:t>
      </w:r>
      <w:r w:rsidR="00CE6B92" w:rsidRPr="00CE6B92">
        <w:rPr>
          <w:highlight w:val="white"/>
          <w:lang w:val="en-GB" w:eastAsia="zh-CN" w:bidi="th-TH"/>
        </w:rPr>
        <w:t>he British traditions which give us our institutions and democratic processes</w:t>
      </w:r>
    </w:p>
    <w:p w14:paraId="57B0F709" w14:textId="4FF088A9" w:rsidR="00CE6B92" w:rsidRPr="00CE6B92" w:rsidRDefault="00EA5229" w:rsidP="00590BA3">
      <w:pPr>
        <w:pStyle w:val="ListParagraph"/>
        <w:rPr>
          <w:lang w:val="en-GB" w:eastAsia="zh-CN" w:bidi="th-TH"/>
        </w:rPr>
      </w:pPr>
      <w:r>
        <w:rPr>
          <w:highlight w:val="white"/>
          <w:lang w:val="en-GB" w:eastAsia="zh-CN" w:bidi="th-TH"/>
        </w:rPr>
        <w:t>t</w:t>
      </w:r>
      <w:r w:rsidR="00CE6B92" w:rsidRPr="00CE6B92">
        <w:rPr>
          <w:highlight w:val="white"/>
          <w:lang w:val="en-GB" w:eastAsia="zh-CN" w:bidi="th-TH"/>
        </w:rPr>
        <w:t>he varied faiths, cultures and backgrounds comprising a diverse, multicultural Australia</w:t>
      </w:r>
      <w:r w:rsidR="00F140F0">
        <w:rPr>
          <w:highlight w:val="white"/>
          <w:lang w:val="en-GB" w:eastAsia="zh-CN" w:bidi="th-TH"/>
        </w:rPr>
        <w:t xml:space="preserve"> (</w:t>
      </w:r>
      <w:r w:rsidR="005C4AD0" w:rsidRPr="00CE6B92">
        <w:rPr>
          <w:rFonts w:ascii="Aptos" w:eastAsia="Aptos" w:hAnsi="Aptos" w:cs="Aptos"/>
          <w:szCs w:val="28"/>
          <w:lang w:val="en-GB" w:eastAsia="zh-CN" w:bidi="th-TH"/>
        </w:rPr>
        <w:t>Referendum Council 2017</w:t>
      </w:r>
      <w:r w:rsidR="00F140F0">
        <w:rPr>
          <w:highlight w:val="white"/>
          <w:lang w:val="en-GB" w:eastAsia="zh-CN" w:bidi="th-TH"/>
        </w:rPr>
        <w:t>).</w:t>
      </w:r>
      <w:r w:rsidR="00CE6B92" w:rsidRPr="00CE6B92">
        <w:rPr>
          <w:lang w:val="en-GB" w:eastAsia="zh-CN" w:bidi="th-TH"/>
        </w:rPr>
        <w:t xml:space="preserve"> </w:t>
      </w:r>
    </w:p>
    <w:p w14:paraId="3B01EC03" w14:textId="59B795AF" w:rsidR="00CE6B92" w:rsidRPr="00CE6B92" w:rsidRDefault="00CE6B92" w:rsidP="001B7F4E">
      <w:pPr>
        <w:rPr>
          <w:lang w:val="en-GB" w:eastAsia="zh-CN" w:bidi="th-TH"/>
        </w:rPr>
      </w:pPr>
      <w:bookmarkStart w:id="33" w:name="_Hlk220605625"/>
      <w:r w:rsidRPr="00CE6B92">
        <w:rPr>
          <w:lang w:val="en-GB" w:eastAsia="zh-CN" w:bidi="th-TH"/>
        </w:rPr>
        <w:t>While no formal mandate exists, many GLAMs deploy this model to tell Australia’s story in a way that invites reflection on a shared sense of who we are and prevents sectionalisation</w:t>
      </w:r>
      <w:r w:rsidR="00F140F0">
        <w:rPr>
          <w:lang w:val="en-GB" w:eastAsia="zh-CN" w:bidi="th-TH"/>
        </w:rPr>
        <w:t xml:space="preserve"> (</w:t>
      </w:r>
      <w:r w:rsidR="005C4AD0" w:rsidRPr="00CE6B92">
        <w:rPr>
          <w:rFonts w:ascii="Aptos" w:eastAsia="Aptos" w:hAnsi="Aptos" w:cs="Aptos"/>
          <w:szCs w:val="28"/>
          <w:lang w:val="en-GB" w:eastAsia="zh-CN" w:bidi="th-TH"/>
        </w:rPr>
        <w:t>Hutchison 2013</w:t>
      </w:r>
      <w:r w:rsidR="005C4AD0">
        <w:rPr>
          <w:rFonts w:ascii="Aptos" w:eastAsia="Aptos" w:hAnsi="Aptos" w:cs="Aptos"/>
          <w:szCs w:val="28"/>
          <w:lang w:val="en-GB" w:eastAsia="zh-CN" w:bidi="th-TH"/>
        </w:rPr>
        <w:t xml:space="preserve">; </w:t>
      </w:r>
      <w:r w:rsidR="005C4AD0" w:rsidRPr="00CE6B92">
        <w:rPr>
          <w:rFonts w:ascii="Aptos" w:eastAsia="Aptos" w:hAnsi="Aptos" w:cs="Aptos"/>
          <w:szCs w:val="28"/>
          <w:lang w:val="en-GB" w:eastAsia="zh-CN" w:bidi="th-TH"/>
        </w:rPr>
        <w:t>Senate Legal and Constitutional Affairs References Committee 2021</w:t>
      </w:r>
      <w:r w:rsidR="00F140F0">
        <w:rPr>
          <w:lang w:val="en-GB" w:eastAsia="zh-CN" w:bidi="th-TH"/>
        </w:rPr>
        <w:t>).</w:t>
      </w:r>
    </w:p>
    <w:bookmarkEnd w:id="33"/>
    <w:p w14:paraId="76B6C529" w14:textId="73E60A5C" w:rsidR="007A42EB" w:rsidRDefault="00CE6B92" w:rsidP="001B7F4E">
      <w:pPr>
        <w:rPr>
          <w:lang w:val="en-GB" w:eastAsia="zh-CN" w:bidi="th-TH"/>
        </w:rPr>
      </w:pPr>
      <w:r w:rsidRPr="00CE6B92">
        <w:rPr>
          <w:highlight w:val="white"/>
          <w:lang w:val="en-GB" w:eastAsia="zh-CN" w:bidi="th-TH"/>
        </w:rPr>
        <w:t>The evidence highlights that informal, community</w:t>
      </w:r>
      <w:r w:rsidR="001404FB">
        <w:rPr>
          <w:highlight w:val="white"/>
          <w:lang w:val="en-GB" w:eastAsia="zh-CN" w:bidi="th-TH"/>
        </w:rPr>
        <w:noBreakHyphen/>
      </w:r>
      <w:r w:rsidRPr="00CE6B92">
        <w:rPr>
          <w:highlight w:val="white"/>
          <w:lang w:val="en-GB" w:eastAsia="zh-CN" w:bidi="th-TH"/>
        </w:rPr>
        <w:t xml:space="preserve">led cultural institutions and structures play a role in capturing and sharing Australia’s diverse identities. </w:t>
      </w:r>
      <w:r w:rsidR="00057DF3">
        <w:rPr>
          <w:lang w:eastAsia="zh-CN" w:bidi="th-TH"/>
        </w:rPr>
        <w:t>First Nation</w:t>
      </w:r>
      <w:r w:rsidRPr="00CE6B92">
        <w:rPr>
          <w:lang w:eastAsia="zh-CN" w:bidi="th-TH"/>
        </w:rPr>
        <w:t xml:space="preserve">s and </w:t>
      </w:r>
      <w:r w:rsidRPr="00CE6B92">
        <w:rPr>
          <w:highlight w:val="white"/>
          <w:lang w:val="en-GB" w:eastAsia="zh-CN" w:bidi="th-TH"/>
        </w:rPr>
        <w:t xml:space="preserve">regional and remote communities feature prominently, where research finds </w:t>
      </w:r>
      <w:r w:rsidRPr="00CE6B92">
        <w:rPr>
          <w:lang w:val="en-GB" w:eastAsia="zh-CN" w:bidi="th-TH"/>
        </w:rPr>
        <w:t>that engaging with local creative and cultural events and activities provides inclusive processes for placemaking and solidarity among disparate groups</w:t>
      </w:r>
      <w:r w:rsidR="00F140F0">
        <w:rPr>
          <w:lang w:val="en-GB" w:eastAsia="zh-CN" w:bidi="th-TH"/>
        </w:rPr>
        <w:t xml:space="preserve"> (</w:t>
      </w:r>
      <w:proofErr w:type="spellStart"/>
      <w:r w:rsidR="00016E9F" w:rsidRPr="00CE6B92">
        <w:rPr>
          <w:rFonts w:ascii="Aptos" w:eastAsia="Aptos" w:hAnsi="Aptos" w:cs="Aptos"/>
          <w:szCs w:val="28"/>
          <w:lang w:val="en-GB" w:eastAsia="zh-CN" w:bidi="th-TH"/>
        </w:rPr>
        <w:t>Gattenhof</w:t>
      </w:r>
      <w:proofErr w:type="spellEnd"/>
      <w:r w:rsidR="00016E9F">
        <w:rPr>
          <w:rFonts w:ascii="Aptos" w:eastAsia="Aptos" w:hAnsi="Aptos" w:cs="Aptos"/>
          <w:szCs w:val="28"/>
          <w:lang w:val="en-GB" w:eastAsia="zh-CN" w:bidi="th-TH"/>
        </w:rPr>
        <w:t xml:space="preserve"> et al. 2023; </w:t>
      </w:r>
      <w:r w:rsidR="00016E9F" w:rsidRPr="00CE6B92">
        <w:rPr>
          <w:rFonts w:ascii="Aptos" w:eastAsia="Aptos" w:hAnsi="Aptos" w:cs="Aptos"/>
          <w:szCs w:val="28"/>
          <w:lang w:val="en-GB" w:eastAsia="zh-CN" w:bidi="th-TH"/>
        </w:rPr>
        <w:t>Rentschler</w:t>
      </w:r>
      <w:r w:rsidR="00016E9F">
        <w:rPr>
          <w:rFonts w:ascii="Aptos" w:eastAsia="Aptos" w:hAnsi="Aptos" w:cs="Aptos"/>
          <w:szCs w:val="28"/>
          <w:lang w:val="en-GB" w:eastAsia="zh-CN" w:bidi="th-TH"/>
        </w:rPr>
        <w:t xml:space="preserve"> et al. </w:t>
      </w:r>
      <w:r w:rsidR="008058F8">
        <w:rPr>
          <w:rFonts w:ascii="Aptos" w:eastAsia="Aptos" w:hAnsi="Aptos" w:cs="Aptos"/>
          <w:szCs w:val="28"/>
          <w:lang w:val="en-GB" w:eastAsia="zh-CN" w:bidi="th-TH"/>
        </w:rPr>
        <w:t>2015</w:t>
      </w:r>
      <w:r w:rsidR="00F140F0">
        <w:rPr>
          <w:lang w:val="en-GB" w:eastAsia="zh-CN" w:bidi="th-TH"/>
        </w:rPr>
        <w:t>).</w:t>
      </w:r>
      <w:r w:rsidR="007A42EB">
        <w:rPr>
          <w:lang w:val="en-GB" w:eastAsia="zh-CN" w:bidi="th-TH"/>
        </w:rPr>
        <w:t xml:space="preserve"> </w:t>
      </w:r>
      <w:r w:rsidRPr="00CE6B92">
        <w:rPr>
          <w:lang w:eastAsia="zh-CN" w:bidi="th-TH"/>
        </w:rPr>
        <w:t xml:space="preserve">For example, </w:t>
      </w:r>
      <w:r w:rsidRPr="008702A4">
        <w:rPr>
          <w:rStyle w:val="Emphasis"/>
        </w:rPr>
        <w:t xml:space="preserve">Mataya </w:t>
      </w:r>
      <w:r w:rsidRPr="00CE6B92">
        <w:rPr>
          <w:lang w:eastAsia="zh-CN" w:bidi="th-TH"/>
        </w:rPr>
        <w:t xml:space="preserve">in </w:t>
      </w:r>
      <w:r w:rsidRPr="00CE6B92">
        <w:rPr>
          <w:lang w:val="en-GB" w:eastAsia="zh-CN" w:bidi="th-TH"/>
        </w:rPr>
        <w:t>Barcaldine in rural Queensland was a</w:t>
      </w:r>
      <w:r w:rsidRPr="00CE6B92">
        <w:rPr>
          <w:lang w:eastAsia="zh-CN" w:bidi="th-TH"/>
        </w:rPr>
        <w:t xml:space="preserve"> collaboration between regional arts organisations and </w:t>
      </w:r>
      <w:r w:rsidR="00057DF3">
        <w:rPr>
          <w:lang w:eastAsia="zh-CN" w:bidi="th-TH"/>
        </w:rPr>
        <w:t>First Nation</w:t>
      </w:r>
      <w:r w:rsidRPr="00CE6B92">
        <w:rPr>
          <w:lang w:eastAsia="zh-CN" w:bidi="th-TH"/>
        </w:rPr>
        <w:t xml:space="preserve">s communities </w:t>
      </w:r>
      <w:r w:rsidRPr="00CE6B92">
        <w:rPr>
          <w:lang w:val="en-GB" w:eastAsia="zh-CN" w:bidi="th-TH"/>
        </w:rPr>
        <w:t>to produce a</w:t>
      </w:r>
      <w:r w:rsidRPr="00CE6B92">
        <w:rPr>
          <w:lang w:eastAsia="zh-CN" w:bidi="th-TH"/>
        </w:rPr>
        <w:t xml:space="preserve"> theatrical </w:t>
      </w:r>
      <w:r w:rsidRPr="00CE6B92">
        <w:rPr>
          <w:lang w:val="en-GB" w:eastAsia="zh-CN" w:bidi="th-TH"/>
        </w:rPr>
        <w:t xml:space="preserve">retelling of a local Dreamtime story. Following </w:t>
      </w:r>
      <w:r w:rsidRPr="008702A4">
        <w:rPr>
          <w:rStyle w:val="Emphasis"/>
        </w:rPr>
        <w:t>Mataya</w:t>
      </w:r>
      <w:r w:rsidRPr="00CE6B92">
        <w:rPr>
          <w:lang w:val="en-GB" w:eastAsia="zh-CN" w:bidi="th-TH"/>
        </w:rPr>
        <w:t>,</w:t>
      </w:r>
      <w:r w:rsidRPr="00CE6B92">
        <w:rPr>
          <w:i/>
          <w:iCs/>
          <w:lang w:val="en-GB" w:eastAsia="zh-CN" w:bidi="th-TH"/>
        </w:rPr>
        <w:t xml:space="preserve"> </w:t>
      </w:r>
      <w:r w:rsidRPr="00CE6B92">
        <w:rPr>
          <w:lang w:val="en-GB" w:eastAsia="zh-CN" w:bidi="th-TH"/>
        </w:rPr>
        <w:t>Barcaldine ran its first public, community</w:t>
      </w:r>
      <w:r w:rsidR="001404FB">
        <w:rPr>
          <w:lang w:val="en-GB" w:eastAsia="zh-CN" w:bidi="th-TH"/>
        </w:rPr>
        <w:noBreakHyphen/>
      </w:r>
      <w:r w:rsidRPr="00CE6B92">
        <w:rPr>
          <w:lang w:val="en-GB" w:eastAsia="zh-CN" w:bidi="th-TH"/>
        </w:rPr>
        <w:t xml:space="preserve">wide Reconciliation Week and local media reported that </w:t>
      </w:r>
      <w:r w:rsidR="005626AD">
        <w:rPr>
          <w:lang w:val="en-GB" w:eastAsia="zh-CN" w:bidi="th-TH"/>
        </w:rPr>
        <w:t>‘</w:t>
      </w:r>
      <w:r w:rsidRPr="00CE6B92">
        <w:rPr>
          <w:lang w:val="en-GB" w:eastAsia="zh-CN" w:bidi="th-TH"/>
        </w:rPr>
        <w:t xml:space="preserve">the community’s positive response to the </w:t>
      </w:r>
      <w:r w:rsidRPr="008702A4">
        <w:rPr>
          <w:rStyle w:val="Emphasis"/>
        </w:rPr>
        <w:t>Mat</w:t>
      </w:r>
      <w:r w:rsidR="003C69E8">
        <w:rPr>
          <w:rStyle w:val="Emphasis"/>
        </w:rPr>
        <w:t>a</w:t>
      </w:r>
      <w:r w:rsidRPr="008702A4">
        <w:rPr>
          <w:rStyle w:val="Emphasis"/>
        </w:rPr>
        <w:t xml:space="preserve">ya </w:t>
      </w:r>
      <w:r w:rsidRPr="00CE6B92">
        <w:rPr>
          <w:lang w:val="en-GB" w:eastAsia="zh-CN" w:bidi="th-TH"/>
        </w:rPr>
        <w:t>performance ... showed that this was the time to get people involved in reconciliation</w:t>
      </w:r>
      <w:r w:rsidR="005626AD">
        <w:rPr>
          <w:lang w:val="en-GB" w:eastAsia="zh-CN" w:bidi="th-TH"/>
        </w:rPr>
        <w:t>’</w:t>
      </w:r>
      <w:r w:rsidR="00F140F0">
        <w:rPr>
          <w:lang w:val="en-GB" w:eastAsia="zh-CN" w:bidi="th-TH"/>
        </w:rPr>
        <w:t xml:space="preserve"> (</w:t>
      </w:r>
      <w:r w:rsidR="008058F8" w:rsidRPr="008058F8">
        <w:rPr>
          <w:rFonts w:ascii="Aptos" w:eastAsia="Aptos" w:hAnsi="Aptos" w:cs="Aptos"/>
          <w:szCs w:val="28"/>
          <w:lang w:val="en-GB" w:eastAsia="zh-CN" w:bidi="th-TH"/>
        </w:rPr>
        <w:t>Williams</w:t>
      </w:r>
      <w:r w:rsidR="000E141D">
        <w:rPr>
          <w:rFonts w:ascii="Aptos" w:eastAsia="Aptos" w:hAnsi="Aptos" w:cs="Aptos"/>
          <w:szCs w:val="28"/>
          <w:lang w:val="en-GB" w:eastAsia="zh-CN" w:bidi="th-TH"/>
        </w:rPr>
        <w:t xml:space="preserve"> 2021</w:t>
      </w:r>
      <w:r w:rsidR="00F140F0">
        <w:rPr>
          <w:lang w:val="en-GB" w:eastAsia="zh-CN" w:bidi="th-TH"/>
        </w:rPr>
        <w:t>).</w:t>
      </w:r>
      <w:r w:rsidR="007A42EB">
        <w:rPr>
          <w:lang w:val="en-GB" w:eastAsia="zh-CN" w:bidi="th-TH"/>
        </w:rPr>
        <w:t xml:space="preserve"> </w:t>
      </w:r>
      <w:r w:rsidRPr="00CE6B92">
        <w:rPr>
          <w:lang w:val="en-GB" w:eastAsia="zh-CN" w:bidi="th-TH"/>
        </w:rPr>
        <w:t xml:space="preserve">Qualitative evidence found that shared storytelling supported </w:t>
      </w:r>
      <w:r w:rsidR="005626AD">
        <w:rPr>
          <w:lang w:val="en-GB" w:eastAsia="zh-CN" w:bidi="th-TH"/>
        </w:rPr>
        <w:t>‘</w:t>
      </w:r>
      <w:r w:rsidRPr="00CE6B92">
        <w:rPr>
          <w:lang w:val="en-GB" w:eastAsia="zh-CN" w:bidi="th-TH"/>
        </w:rPr>
        <w:t xml:space="preserve">greater social cohesion through strengthened relationships between </w:t>
      </w:r>
      <w:r w:rsidR="00057DF3">
        <w:rPr>
          <w:lang w:val="en-GB" w:eastAsia="zh-CN" w:bidi="th-TH"/>
        </w:rPr>
        <w:t>First Nation</w:t>
      </w:r>
      <w:r w:rsidRPr="00CE6B92">
        <w:rPr>
          <w:lang w:val="en-GB" w:eastAsia="zh-CN" w:bidi="th-TH"/>
        </w:rPr>
        <w:t>s peoples and the wider community</w:t>
      </w:r>
      <w:r w:rsidR="005626AD">
        <w:rPr>
          <w:lang w:val="en-GB" w:eastAsia="zh-CN" w:bidi="th-TH"/>
        </w:rPr>
        <w:t>’</w:t>
      </w:r>
      <w:r w:rsidR="00F140F0">
        <w:rPr>
          <w:lang w:val="en-GB" w:eastAsia="zh-CN" w:bidi="th-TH"/>
        </w:rPr>
        <w:t xml:space="preserve"> (</w:t>
      </w:r>
      <w:proofErr w:type="spellStart"/>
      <w:r w:rsidR="004351EE" w:rsidRPr="00CE6B92">
        <w:rPr>
          <w:rFonts w:ascii="Aptos" w:eastAsia="Aptos" w:hAnsi="Aptos" w:cs="Aptos"/>
          <w:szCs w:val="28"/>
          <w:lang w:val="en-GB" w:eastAsia="zh-CN" w:bidi="th-TH"/>
        </w:rPr>
        <w:t>Gattenhof</w:t>
      </w:r>
      <w:proofErr w:type="spellEnd"/>
      <w:r w:rsidR="004351EE">
        <w:rPr>
          <w:rFonts w:ascii="Aptos" w:eastAsia="Aptos" w:hAnsi="Aptos" w:cs="Aptos"/>
          <w:szCs w:val="28"/>
          <w:lang w:val="en-GB" w:eastAsia="zh-CN" w:bidi="th-TH"/>
        </w:rPr>
        <w:t xml:space="preserve"> et al. 2023</w:t>
      </w:r>
      <w:r w:rsidR="00F140F0">
        <w:rPr>
          <w:lang w:val="en-GB" w:eastAsia="zh-CN" w:bidi="th-TH"/>
        </w:rPr>
        <w:t>).</w:t>
      </w:r>
    </w:p>
    <w:p w14:paraId="3A5397EC" w14:textId="36587E8D" w:rsidR="00CE6B92" w:rsidRPr="00CE6B92" w:rsidRDefault="00CE6B92" w:rsidP="001B7F4E">
      <w:pPr>
        <w:rPr>
          <w:lang w:val="en-GB" w:eastAsia="zh-CN" w:bidi="th-TH"/>
        </w:rPr>
      </w:pPr>
      <w:r w:rsidRPr="00CE6B92">
        <w:rPr>
          <w:lang w:val="en-GB" w:eastAsia="zh-CN" w:bidi="th-TH"/>
        </w:rPr>
        <w:t xml:space="preserve">Despite evidence that greater inclusivity promotes comfort with complexity and difference, there is some evidence indicating that institutional engagements can </w:t>
      </w:r>
      <w:r w:rsidRPr="00CE6B92">
        <w:rPr>
          <w:lang w:val="en-GB" w:eastAsia="zh-CN" w:bidi="th-TH"/>
        </w:rPr>
        <w:lastRenderedPageBreak/>
        <w:t>exacerbate feelings of exclusion among certain groups</w:t>
      </w:r>
      <w:r w:rsidR="00F140F0">
        <w:rPr>
          <w:lang w:val="en-GB" w:eastAsia="zh-CN" w:bidi="th-TH"/>
        </w:rPr>
        <w:t xml:space="preserve"> (</w:t>
      </w:r>
      <w:r w:rsidR="00DC40B8" w:rsidRPr="00CE6B92">
        <w:rPr>
          <w:rFonts w:ascii="Aptos" w:eastAsia="Aptos" w:hAnsi="Aptos" w:cs="Aptos"/>
          <w:szCs w:val="28"/>
          <w:lang w:val="en-GB" w:eastAsia="zh-CN" w:bidi="th-TH"/>
        </w:rPr>
        <w:t>O’Donnell</w:t>
      </w:r>
      <w:r w:rsidR="00DC40B8">
        <w:rPr>
          <w:rFonts w:ascii="Aptos" w:eastAsia="Aptos" w:hAnsi="Aptos" w:cs="Aptos"/>
          <w:szCs w:val="28"/>
          <w:lang w:val="en-GB" w:eastAsia="zh-CN" w:bidi="th-TH"/>
        </w:rPr>
        <w:t xml:space="preserve"> </w:t>
      </w:r>
      <w:r w:rsidR="00D30786">
        <w:rPr>
          <w:rFonts w:ascii="Aptos" w:eastAsia="Aptos" w:hAnsi="Aptos" w:cs="Aptos"/>
          <w:szCs w:val="28"/>
          <w:lang w:val="en-GB" w:eastAsia="zh-CN" w:bidi="th-TH"/>
        </w:rPr>
        <w:t xml:space="preserve">et al. </w:t>
      </w:r>
      <w:r w:rsidR="00DC40B8">
        <w:rPr>
          <w:rFonts w:ascii="Aptos" w:eastAsia="Aptos" w:hAnsi="Aptos" w:cs="Aptos"/>
          <w:szCs w:val="28"/>
          <w:lang w:val="en-GB" w:eastAsia="zh-CN" w:bidi="th-TH"/>
        </w:rPr>
        <w:t xml:space="preserve">2024; </w:t>
      </w:r>
      <w:r w:rsidR="00DC40B8" w:rsidRPr="00CE6B92">
        <w:rPr>
          <w:rFonts w:ascii="Aptos" w:eastAsia="Aptos" w:hAnsi="Aptos" w:cs="Aptos"/>
          <w:szCs w:val="28"/>
          <w:lang w:val="en-GB" w:eastAsia="zh-CN" w:bidi="th-TH"/>
        </w:rPr>
        <w:t>van Kooy 2022</w:t>
      </w:r>
      <w:r w:rsidR="00F140F0">
        <w:rPr>
          <w:lang w:val="en-GB" w:eastAsia="zh-CN" w:bidi="th-TH"/>
        </w:rPr>
        <w:t>).</w:t>
      </w:r>
      <w:bookmarkStart w:id="34" w:name="_Hlk220605703"/>
      <w:r w:rsidR="007A42EB">
        <w:rPr>
          <w:lang w:val="en-GB" w:eastAsia="zh-CN" w:bidi="th-TH"/>
        </w:rPr>
        <w:t xml:space="preserve"> </w:t>
      </w:r>
      <w:r w:rsidRPr="00CE6B92">
        <w:rPr>
          <w:lang w:val="en-GB" w:eastAsia="zh-CN" w:bidi="th-TH"/>
        </w:rPr>
        <w:t>This is most prominent among GLAMs, where representation across class, ethnicity and gender can be limited in terms of hiring practices</w:t>
      </w:r>
      <w:r w:rsidR="00DC40B8">
        <w:rPr>
          <w:lang w:val="en-GB" w:eastAsia="zh-CN" w:bidi="th-TH"/>
        </w:rPr>
        <w:t xml:space="preserve"> (</w:t>
      </w:r>
      <w:r w:rsidR="00DC40B8" w:rsidRPr="00CE6B92">
        <w:rPr>
          <w:rFonts w:ascii="Aptos" w:eastAsia="Aptos" w:hAnsi="Aptos" w:cs="Aptos"/>
          <w:szCs w:val="28"/>
          <w:lang w:val="en-GB" w:eastAsia="zh-CN" w:bidi="th-TH"/>
        </w:rPr>
        <w:t xml:space="preserve">Brook </w:t>
      </w:r>
      <w:r w:rsidR="00DC40B8">
        <w:rPr>
          <w:rFonts w:ascii="Aptos" w:eastAsia="Aptos" w:hAnsi="Aptos" w:cs="Aptos"/>
          <w:szCs w:val="28"/>
          <w:lang w:val="en-GB" w:eastAsia="zh-CN" w:bidi="th-TH"/>
        </w:rPr>
        <w:t>et al.</w:t>
      </w:r>
      <w:r w:rsidR="00F36238">
        <w:rPr>
          <w:rFonts w:ascii="Aptos" w:eastAsia="Aptos" w:hAnsi="Aptos" w:cs="Aptos"/>
          <w:szCs w:val="28"/>
          <w:lang w:val="en-GB" w:eastAsia="zh-CN" w:bidi="th-TH"/>
        </w:rPr>
        <w:t xml:space="preserve"> 2020; </w:t>
      </w:r>
      <w:proofErr w:type="spellStart"/>
      <w:r w:rsidR="00F36238" w:rsidRPr="00CE6B92">
        <w:rPr>
          <w:rFonts w:ascii="Aptos" w:eastAsia="Aptos" w:hAnsi="Aptos" w:cs="Aptos"/>
          <w:szCs w:val="28"/>
          <w:lang w:val="en-GB" w:eastAsia="zh-CN" w:bidi="th-TH"/>
        </w:rPr>
        <w:t>Brownett</w:t>
      </w:r>
      <w:proofErr w:type="spellEnd"/>
      <w:r w:rsidR="00F36238" w:rsidRPr="00CE6B92">
        <w:rPr>
          <w:rFonts w:ascii="Aptos" w:eastAsia="Aptos" w:hAnsi="Aptos" w:cs="Aptos"/>
          <w:szCs w:val="28"/>
          <w:lang w:val="en-GB" w:eastAsia="zh-CN" w:bidi="th-TH"/>
        </w:rPr>
        <w:t xml:space="preserve"> </w:t>
      </w:r>
      <w:r w:rsidR="00F36238">
        <w:rPr>
          <w:rFonts w:ascii="Aptos" w:eastAsia="Aptos" w:hAnsi="Aptos" w:cs="Aptos"/>
          <w:szCs w:val="28"/>
          <w:lang w:val="en-GB" w:eastAsia="zh-CN" w:bidi="th-TH"/>
        </w:rPr>
        <w:t>2018)</w:t>
      </w:r>
      <w:r w:rsidRPr="00CE6B92">
        <w:rPr>
          <w:lang w:val="en-GB" w:eastAsia="zh-CN" w:bidi="th-TH"/>
        </w:rPr>
        <w:t>,</w:t>
      </w:r>
      <w:bookmarkEnd w:id="34"/>
      <w:r w:rsidRPr="00CE6B92">
        <w:rPr>
          <w:lang w:val="en-GB" w:eastAsia="zh-CN" w:bidi="th-TH"/>
        </w:rPr>
        <w:t xml:space="preserve"> the stories and perspectives </w:t>
      </w:r>
      <w:proofErr w:type="gramStart"/>
      <w:r w:rsidRPr="00CE6B92">
        <w:rPr>
          <w:lang w:val="en-GB" w:eastAsia="zh-CN" w:bidi="th-TH"/>
        </w:rPr>
        <w:t>shared</w:t>
      </w:r>
      <w:proofErr w:type="gramEnd"/>
      <w:r w:rsidRPr="00CE6B92">
        <w:rPr>
          <w:lang w:val="en-GB" w:eastAsia="zh-CN" w:bidi="th-TH"/>
        </w:rPr>
        <w:t xml:space="preserve"> and the audiences reached</w:t>
      </w:r>
      <w:r w:rsidR="00F140F0">
        <w:rPr>
          <w:lang w:val="en-GB" w:eastAsia="zh-CN" w:bidi="th-TH"/>
        </w:rPr>
        <w:t xml:space="preserve"> (</w:t>
      </w:r>
      <w:r w:rsidR="00C64EDF" w:rsidRPr="00CE6B92">
        <w:rPr>
          <w:rFonts w:ascii="Aptos" w:eastAsia="Aptos" w:hAnsi="Aptos" w:cs="Aptos"/>
          <w:szCs w:val="28"/>
          <w:lang w:val="en-GB" w:eastAsia="zh-CN" w:bidi="th-TH"/>
        </w:rPr>
        <w:t>Glow</w:t>
      </w:r>
      <w:r w:rsidR="00C64EDF">
        <w:rPr>
          <w:rFonts w:ascii="Aptos" w:eastAsia="Aptos" w:hAnsi="Aptos" w:cs="Aptos"/>
          <w:szCs w:val="28"/>
          <w:lang w:val="en-GB" w:eastAsia="zh-CN" w:bidi="th-TH"/>
        </w:rPr>
        <w:t xml:space="preserve"> et al. 2021</w:t>
      </w:r>
      <w:r w:rsidR="002646DE">
        <w:rPr>
          <w:rFonts w:ascii="Aptos" w:eastAsia="Aptos" w:hAnsi="Aptos" w:cs="Aptos"/>
          <w:szCs w:val="28"/>
          <w:lang w:val="en-GB" w:eastAsia="zh-CN" w:bidi="th-TH"/>
        </w:rPr>
        <w:t xml:space="preserve">; </w:t>
      </w:r>
      <w:r w:rsidR="002646DE" w:rsidRPr="00CE6B92">
        <w:rPr>
          <w:rFonts w:ascii="Aptos" w:eastAsia="Aptos" w:hAnsi="Aptos" w:cs="Aptos"/>
          <w:szCs w:val="28"/>
          <w:lang w:val="en-GB" w:eastAsia="zh-CN" w:bidi="th-TH"/>
        </w:rPr>
        <w:t>Message</w:t>
      </w:r>
      <w:r w:rsidR="002646DE">
        <w:rPr>
          <w:rFonts w:ascii="Aptos" w:eastAsia="Aptos" w:hAnsi="Aptos" w:cs="Aptos"/>
          <w:szCs w:val="28"/>
          <w:lang w:val="en-GB" w:eastAsia="zh-CN" w:bidi="th-TH"/>
        </w:rPr>
        <w:t xml:space="preserve"> 2013</w:t>
      </w:r>
      <w:r w:rsidR="00F140F0">
        <w:rPr>
          <w:lang w:val="en-GB" w:eastAsia="zh-CN" w:bidi="th-TH"/>
        </w:rPr>
        <w:t>).</w:t>
      </w:r>
      <w:r w:rsidR="007A42EB">
        <w:rPr>
          <w:lang w:val="en-GB" w:eastAsia="zh-CN" w:bidi="th-TH"/>
        </w:rPr>
        <w:t xml:space="preserve"> </w:t>
      </w:r>
      <w:r w:rsidRPr="00CE6B92">
        <w:rPr>
          <w:lang w:val="en-GB" w:eastAsia="zh-CN" w:bidi="th-TH"/>
        </w:rPr>
        <w:t xml:space="preserve">One survey found that </w:t>
      </w:r>
      <w:r w:rsidR="002B6EDD">
        <w:rPr>
          <w:lang w:val="en-GB" w:eastAsia="zh-CN" w:bidi="th-TH"/>
        </w:rPr>
        <w:t>3</w:t>
      </w:r>
      <w:r w:rsidRPr="00CE6B92">
        <w:rPr>
          <w:lang w:val="en-GB" w:eastAsia="zh-CN" w:bidi="th-TH"/>
        </w:rPr>
        <w:t xml:space="preserve"> in </w:t>
      </w:r>
      <w:r w:rsidR="002B6EDD">
        <w:rPr>
          <w:lang w:val="en-GB" w:eastAsia="zh-CN" w:bidi="th-TH"/>
        </w:rPr>
        <w:t>10</w:t>
      </w:r>
      <w:r w:rsidRPr="00CE6B92">
        <w:rPr>
          <w:lang w:val="en-GB" w:eastAsia="zh-CN" w:bidi="th-TH"/>
        </w:rPr>
        <w:t xml:space="preserve"> Australians believe that cultural and creative experiences are not for people like them, with </w:t>
      </w:r>
      <w:r w:rsidR="00057DF3">
        <w:rPr>
          <w:lang w:val="en-GB" w:eastAsia="zh-CN" w:bidi="th-TH"/>
        </w:rPr>
        <w:t>First Nation</w:t>
      </w:r>
      <w:r w:rsidRPr="00CE6B92">
        <w:rPr>
          <w:lang w:val="en-GB" w:eastAsia="zh-CN" w:bidi="th-TH"/>
        </w:rPr>
        <w:t>s and CALD respondents more likely to agree with the statement</w:t>
      </w:r>
      <w:r w:rsidR="00F140F0">
        <w:rPr>
          <w:lang w:val="en-GB" w:eastAsia="zh-CN" w:bidi="th-TH"/>
        </w:rPr>
        <w:t xml:space="preserve"> (</w:t>
      </w:r>
      <w:r w:rsidR="002646DE" w:rsidRPr="00CE6B92">
        <w:rPr>
          <w:rFonts w:ascii="Aptos" w:eastAsia="Aptos" w:hAnsi="Aptos" w:cs="Aptos"/>
          <w:szCs w:val="28"/>
          <w:lang w:val="en-GB" w:eastAsia="zh-CN" w:bidi="th-TH"/>
        </w:rPr>
        <w:t>Creative Australia 2023</w:t>
      </w:r>
      <w:r w:rsidR="00F140F0">
        <w:rPr>
          <w:lang w:val="en-GB" w:eastAsia="zh-CN" w:bidi="th-TH"/>
        </w:rPr>
        <w:t>).</w:t>
      </w:r>
    </w:p>
    <w:p w14:paraId="33F7FC78" w14:textId="77777777" w:rsidR="00CE6B92" w:rsidRPr="00CE6B92" w:rsidRDefault="00CE6B92" w:rsidP="00057DF3">
      <w:pPr>
        <w:pStyle w:val="Heading3Numbered"/>
        <w:rPr>
          <w:highlight w:val="white"/>
          <w:lang w:val="en-GB" w:eastAsia="zh-CN" w:bidi="th-TH"/>
        </w:rPr>
      </w:pPr>
      <w:bookmarkStart w:id="35" w:name="_Toc218517317"/>
      <w:r w:rsidRPr="00CE6B92">
        <w:rPr>
          <w:highlight w:val="white"/>
          <w:lang w:val="en-GB" w:eastAsia="zh-CN" w:bidi="th-TH"/>
        </w:rPr>
        <w:t>Trusted and valued institutions</w:t>
      </w:r>
      <w:bookmarkEnd w:id="35"/>
    </w:p>
    <w:p w14:paraId="4B9D693A" w14:textId="2CC38544" w:rsidR="00CE6B92" w:rsidRPr="00057DF3" w:rsidRDefault="00CE6B92" w:rsidP="001404FB">
      <w:pPr>
        <w:rPr>
          <w:rStyle w:val="IntenseEmphasis"/>
          <w:i w:val="0"/>
          <w:iCs w:val="0"/>
          <w:color w:val="auto"/>
          <w:highlight w:val="white"/>
        </w:rPr>
      </w:pPr>
      <w:r w:rsidRPr="00057DF3">
        <w:rPr>
          <w:rStyle w:val="IntenseEmphasis"/>
          <w:i w:val="0"/>
          <w:iCs w:val="0"/>
          <w:color w:val="auto"/>
        </w:rPr>
        <w:t xml:space="preserve">Research finds that Australia’s cultural and community institutions are trusted and valued as credible and independent sources of information operating for the public good. There are opportunities to leverage this standing to </w:t>
      </w:r>
      <w:r w:rsidRPr="00057DF3">
        <w:rPr>
          <w:rStyle w:val="IntenseEmphasis"/>
          <w:i w:val="0"/>
          <w:iCs w:val="0"/>
          <w:color w:val="auto"/>
          <w:highlight w:val="white"/>
        </w:rPr>
        <w:t>deliver interventions which target</w:t>
      </w:r>
      <w:r w:rsidR="00EA5229">
        <w:rPr>
          <w:rStyle w:val="IntenseEmphasis"/>
          <w:i w:val="0"/>
          <w:iCs w:val="0"/>
          <w:color w:val="auto"/>
          <w:highlight w:val="white"/>
        </w:rPr>
        <w:t xml:space="preserve"> mis- </w:t>
      </w:r>
      <w:r w:rsidR="001B7F4E" w:rsidRPr="00057DF3">
        <w:rPr>
          <w:rStyle w:val="IntenseEmphasis"/>
          <w:i w:val="0"/>
          <w:iCs w:val="0"/>
          <w:color w:val="auto"/>
          <w:highlight w:val="white"/>
        </w:rPr>
        <w:t>and disinformation</w:t>
      </w:r>
      <w:r w:rsidRPr="00057DF3">
        <w:rPr>
          <w:rStyle w:val="IntenseEmphasis"/>
          <w:i w:val="0"/>
          <w:iCs w:val="0"/>
          <w:color w:val="auto"/>
          <w:highlight w:val="white"/>
        </w:rPr>
        <w:t xml:space="preserve">, including </w:t>
      </w:r>
      <w:r w:rsidRPr="00057DF3">
        <w:rPr>
          <w:rStyle w:val="IntenseEmphasis"/>
          <w:i w:val="0"/>
          <w:iCs w:val="0"/>
          <w:color w:val="auto"/>
        </w:rPr>
        <w:t xml:space="preserve">through a decentralised approach involving </w:t>
      </w:r>
      <w:r w:rsidR="005363A5">
        <w:rPr>
          <w:rStyle w:val="IntenseEmphasis"/>
          <w:i w:val="0"/>
          <w:iCs w:val="0"/>
          <w:color w:val="auto"/>
        </w:rPr>
        <w:t>s</w:t>
      </w:r>
      <w:r w:rsidRPr="00057DF3">
        <w:rPr>
          <w:rStyle w:val="IntenseEmphasis"/>
          <w:i w:val="0"/>
          <w:iCs w:val="0"/>
          <w:color w:val="auto"/>
        </w:rPr>
        <w:t>tate/</w:t>
      </w:r>
      <w:r w:rsidR="005363A5">
        <w:rPr>
          <w:rStyle w:val="IntenseEmphasis"/>
          <w:i w:val="0"/>
          <w:iCs w:val="0"/>
          <w:color w:val="auto"/>
        </w:rPr>
        <w:t>t</w:t>
      </w:r>
      <w:r w:rsidRPr="00057DF3">
        <w:rPr>
          <w:rStyle w:val="IntenseEmphasis"/>
          <w:i w:val="0"/>
          <w:iCs w:val="0"/>
          <w:color w:val="auto"/>
        </w:rPr>
        <w:t>erritory and local institutions and authorities that focuses on local communities and concerns</w:t>
      </w:r>
      <w:r w:rsidRPr="00057DF3">
        <w:rPr>
          <w:rStyle w:val="IntenseEmphasis"/>
          <w:i w:val="0"/>
          <w:iCs w:val="0"/>
          <w:color w:val="auto"/>
          <w:highlight w:val="white"/>
        </w:rPr>
        <w:t>.</w:t>
      </w:r>
    </w:p>
    <w:p w14:paraId="3245DEAB" w14:textId="56C4AFD8" w:rsidR="007B6C23" w:rsidRPr="008702A4" w:rsidRDefault="00CE6B92" w:rsidP="001B7F4E">
      <w:pPr>
        <w:rPr>
          <w:spacing w:val="-1"/>
          <w:lang w:val="en-GB" w:eastAsia="zh-CN" w:bidi="th-TH"/>
        </w:rPr>
      </w:pPr>
      <w:r w:rsidRPr="008702A4">
        <w:rPr>
          <w:spacing w:val="-1"/>
          <w:highlight w:val="white"/>
          <w:lang w:val="en-GB" w:eastAsia="zh-CN" w:bidi="th-TH"/>
        </w:rPr>
        <w:t>Cultural and community institutions consistently rank among the most trusted and valued</w:t>
      </w:r>
      <w:r w:rsidR="00F140F0" w:rsidRPr="008702A4">
        <w:rPr>
          <w:spacing w:val="-1"/>
          <w:highlight w:val="white"/>
          <w:lang w:val="en-GB" w:eastAsia="zh-CN" w:bidi="th-TH"/>
        </w:rPr>
        <w:t xml:space="preserve"> (</w:t>
      </w:r>
      <w:r w:rsidR="005A2C6A" w:rsidRPr="008702A4">
        <w:rPr>
          <w:rFonts w:eastAsia="Aptos" w:cs="Aptos"/>
          <w:spacing w:val="-1"/>
          <w:szCs w:val="28"/>
          <w:lang w:val="en-GB" w:eastAsia="zh-CN" w:bidi="th-TH"/>
        </w:rPr>
        <w:t xml:space="preserve">Edelman Trust Institute 2025; Evans </w:t>
      </w:r>
      <w:r w:rsidR="009E1320" w:rsidRPr="008702A4">
        <w:rPr>
          <w:rFonts w:eastAsia="Aptos" w:cs="Aptos"/>
          <w:spacing w:val="-1"/>
          <w:szCs w:val="28"/>
          <w:lang w:val="en-GB" w:eastAsia="zh-CN" w:bidi="th-TH"/>
        </w:rPr>
        <w:t>2021</w:t>
      </w:r>
      <w:r w:rsidR="00F140F0" w:rsidRPr="008702A4">
        <w:rPr>
          <w:spacing w:val="-1"/>
          <w:highlight w:val="white"/>
          <w:lang w:val="en-GB" w:eastAsia="zh-CN" w:bidi="th-TH"/>
        </w:rPr>
        <w:t>).</w:t>
      </w:r>
      <w:r w:rsidR="007B6C23" w:rsidRPr="008702A4">
        <w:rPr>
          <w:spacing w:val="-1"/>
          <w:highlight w:val="white"/>
          <w:lang w:val="en-GB" w:eastAsia="zh-CN" w:bidi="th-TH"/>
        </w:rPr>
        <w:t xml:space="preserve"> </w:t>
      </w:r>
      <w:r w:rsidRPr="008702A4">
        <w:rPr>
          <w:spacing w:val="-1"/>
          <w:highlight w:val="white"/>
          <w:lang w:val="en-GB" w:eastAsia="zh-CN" w:bidi="th-TH"/>
        </w:rPr>
        <w:t>90</w:t>
      </w:r>
      <w:r w:rsidR="005363A5">
        <w:rPr>
          <w:spacing w:val="-1"/>
          <w:highlight w:val="white"/>
          <w:lang w:val="en-GB" w:eastAsia="zh-CN" w:bidi="th-TH"/>
        </w:rPr>
        <w:t xml:space="preserve"> per cent</w:t>
      </w:r>
      <w:r w:rsidRPr="008702A4">
        <w:rPr>
          <w:spacing w:val="-1"/>
          <w:highlight w:val="white"/>
          <w:lang w:val="en-GB" w:eastAsia="zh-CN" w:bidi="th-TH"/>
        </w:rPr>
        <w:t xml:space="preserve"> of Australians surveyed trust the Australian Electoral Commission (AEC)</w:t>
      </w:r>
      <w:r w:rsidR="009E1320" w:rsidRPr="008702A4">
        <w:rPr>
          <w:spacing w:val="-1"/>
          <w:highlight w:val="white"/>
          <w:lang w:val="en-GB" w:eastAsia="zh-CN" w:bidi="th-TH"/>
        </w:rPr>
        <w:t xml:space="preserve"> (</w:t>
      </w:r>
      <w:r w:rsidR="003D6C02" w:rsidRPr="008702A4">
        <w:rPr>
          <w:rFonts w:eastAsia="Aptos" w:cs="Aptos"/>
          <w:spacing w:val="-1"/>
          <w:szCs w:val="28"/>
          <w:lang w:val="en-GB" w:eastAsia="zh-CN" w:bidi="th-TH"/>
        </w:rPr>
        <w:t>APSC</w:t>
      </w:r>
      <w:r w:rsidR="009E1320" w:rsidRPr="008702A4">
        <w:rPr>
          <w:rFonts w:eastAsia="Aptos" w:cs="Aptos"/>
          <w:spacing w:val="-1"/>
          <w:szCs w:val="28"/>
          <w:lang w:val="en-GB" w:eastAsia="zh-CN" w:bidi="th-TH"/>
        </w:rPr>
        <w:t xml:space="preserve"> 2023)</w:t>
      </w:r>
      <w:r w:rsidRPr="008702A4">
        <w:rPr>
          <w:spacing w:val="-1"/>
          <w:highlight w:val="white"/>
          <w:lang w:val="en-GB" w:eastAsia="zh-CN" w:bidi="th-TH"/>
        </w:rPr>
        <w:t>,</w:t>
      </w:r>
      <w:r w:rsidR="007B6C23" w:rsidRPr="008702A4">
        <w:rPr>
          <w:spacing w:val="-1"/>
          <w:highlight w:val="white"/>
          <w:lang w:val="en-GB" w:eastAsia="zh-CN" w:bidi="th-TH"/>
        </w:rPr>
        <w:t xml:space="preserve"> </w:t>
      </w:r>
      <w:r w:rsidRPr="008702A4">
        <w:rPr>
          <w:spacing w:val="-1"/>
          <w:highlight w:val="white"/>
          <w:lang w:val="en-GB" w:eastAsia="zh-CN" w:bidi="th-TH"/>
        </w:rPr>
        <w:t>while 82% and 78% of Australians trust libraries and museums respectively</w:t>
      </w:r>
      <w:r w:rsidR="00F140F0" w:rsidRPr="008702A4">
        <w:rPr>
          <w:spacing w:val="-1"/>
          <w:highlight w:val="white"/>
          <w:lang w:val="en-GB" w:eastAsia="zh-CN" w:bidi="th-TH"/>
        </w:rPr>
        <w:t xml:space="preserve"> (</w:t>
      </w:r>
      <w:r w:rsidR="009E1320" w:rsidRPr="008702A4">
        <w:rPr>
          <w:rFonts w:eastAsia="Aptos" w:cs="Aptos"/>
          <w:spacing w:val="-1"/>
          <w:szCs w:val="28"/>
          <w:lang w:val="en-GB" w:eastAsia="zh-CN" w:bidi="th-TH"/>
        </w:rPr>
        <w:t>Evans 2021</w:t>
      </w:r>
      <w:r w:rsidR="00F140F0" w:rsidRPr="008702A4">
        <w:rPr>
          <w:spacing w:val="-1"/>
          <w:highlight w:val="white"/>
          <w:lang w:val="en-GB" w:eastAsia="zh-CN" w:bidi="th-TH"/>
        </w:rPr>
        <w:t>).</w:t>
      </w:r>
      <w:r w:rsidR="007B6C23" w:rsidRPr="008702A4">
        <w:rPr>
          <w:spacing w:val="-1"/>
          <w:highlight w:val="white"/>
          <w:lang w:val="en-GB" w:eastAsia="zh-CN" w:bidi="th-TH"/>
        </w:rPr>
        <w:t xml:space="preserve"> </w:t>
      </w:r>
      <w:r w:rsidRPr="008702A4">
        <w:rPr>
          <w:spacing w:val="-1"/>
          <w:highlight w:val="white"/>
          <w:lang w:val="en-GB" w:eastAsia="zh-CN" w:bidi="th-TH"/>
        </w:rPr>
        <w:t xml:space="preserve">Overseas, a </w:t>
      </w:r>
      <w:r w:rsidRPr="008702A4">
        <w:rPr>
          <w:spacing w:val="-1"/>
          <w:lang w:val="en-GB" w:eastAsia="zh-CN" w:bidi="th-TH"/>
        </w:rPr>
        <w:t>survey in Germany found that museums have the highest level of trust in an institutional environment, ahead of scientists and the media</w:t>
      </w:r>
      <w:r w:rsidR="00F140F0" w:rsidRPr="008702A4">
        <w:rPr>
          <w:spacing w:val="-1"/>
          <w:lang w:val="en-GB" w:eastAsia="zh-CN" w:bidi="th-TH"/>
        </w:rPr>
        <w:t xml:space="preserve"> (</w:t>
      </w:r>
      <w:r w:rsidR="009E1320" w:rsidRPr="008702A4">
        <w:rPr>
          <w:rFonts w:eastAsia="Aptos" w:cs="Aptos"/>
          <w:spacing w:val="-1"/>
          <w:szCs w:val="28"/>
          <w:lang w:val="en-GB" w:eastAsia="zh-CN" w:bidi="th-TH"/>
        </w:rPr>
        <w:t xml:space="preserve">Grotz and </w:t>
      </w:r>
      <w:proofErr w:type="spellStart"/>
      <w:r w:rsidR="009E1320" w:rsidRPr="008702A4">
        <w:rPr>
          <w:rFonts w:eastAsia="Aptos" w:cs="Aptos"/>
          <w:spacing w:val="-1"/>
          <w:szCs w:val="28"/>
          <w:lang w:val="en-GB" w:eastAsia="zh-CN" w:bidi="th-TH"/>
        </w:rPr>
        <w:t>Rahemipour</w:t>
      </w:r>
      <w:proofErr w:type="spellEnd"/>
      <w:r w:rsidR="009E1320" w:rsidRPr="008702A4">
        <w:rPr>
          <w:rFonts w:eastAsia="Aptos" w:cs="Aptos"/>
          <w:spacing w:val="-1"/>
          <w:szCs w:val="28"/>
          <w:lang w:val="en-GB" w:eastAsia="zh-CN" w:bidi="th-TH"/>
        </w:rPr>
        <w:t xml:space="preserve"> 2024</w:t>
      </w:r>
      <w:r w:rsidR="00F140F0" w:rsidRPr="008702A4">
        <w:rPr>
          <w:spacing w:val="-1"/>
          <w:lang w:val="en-GB" w:eastAsia="zh-CN" w:bidi="th-TH"/>
        </w:rPr>
        <w:t>).</w:t>
      </w:r>
      <w:r w:rsidR="007B6C23" w:rsidRPr="008702A4">
        <w:rPr>
          <w:spacing w:val="-1"/>
          <w:lang w:val="en-GB" w:eastAsia="zh-CN" w:bidi="th-TH"/>
        </w:rPr>
        <w:t xml:space="preserve"> </w:t>
      </w:r>
      <w:r w:rsidRPr="008702A4">
        <w:rPr>
          <w:spacing w:val="-1"/>
          <w:highlight w:val="white"/>
          <w:lang w:val="en-GB" w:eastAsia="zh-CN" w:bidi="th-TH"/>
        </w:rPr>
        <w:t>While</w:t>
      </w:r>
      <w:r w:rsidR="008702A4" w:rsidRPr="008702A4">
        <w:rPr>
          <w:spacing w:val="-1"/>
          <w:highlight w:val="white"/>
          <w:lang w:val="en-GB" w:eastAsia="zh-CN" w:bidi="th-TH"/>
        </w:rPr>
        <w:t> </w:t>
      </w:r>
      <w:r w:rsidRPr="008702A4">
        <w:rPr>
          <w:spacing w:val="-1"/>
          <w:highlight w:val="white"/>
          <w:lang w:val="en-GB" w:eastAsia="zh-CN" w:bidi="th-TH"/>
        </w:rPr>
        <w:t>the weight of evidence is on formal institutions, survey and anecdotal evidence indicates that Australians generally have a high level of trust in civil society and community institutions, which are seen as acting in the interest of public good</w:t>
      </w:r>
      <w:r w:rsidR="00F140F0" w:rsidRPr="008702A4">
        <w:rPr>
          <w:spacing w:val="-1"/>
          <w:lang w:val="en-GB" w:eastAsia="zh-CN" w:bidi="th-TH"/>
        </w:rPr>
        <w:t xml:space="preserve"> (</w:t>
      </w:r>
      <w:r w:rsidR="00204AD1" w:rsidRPr="008702A4">
        <w:rPr>
          <w:rFonts w:eastAsia="Aptos" w:cs="Aptos"/>
          <w:spacing w:val="-1"/>
          <w:szCs w:val="28"/>
          <w:lang w:val="en-GB" w:eastAsia="zh-CN" w:bidi="th-TH"/>
        </w:rPr>
        <w:t>Fielding and Trembath 2020; Riboldi</w:t>
      </w:r>
      <w:r w:rsidR="00D54F24">
        <w:rPr>
          <w:rFonts w:eastAsia="Aptos" w:cs="Aptos"/>
          <w:spacing w:val="-1"/>
          <w:szCs w:val="28"/>
          <w:lang w:val="en-GB" w:eastAsia="zh-CN" w:bidi="th-TH"/>
        </w:rPr>
        <w:t xml:space="preserve"> et al.</w:t>
      </w:r>
      <w:r w:rsidR="00204AD1" w:rsidRPr="008702A4">
        <w:rPr>
          <w:rFonts w:eastAsia="Aptos" w:cs="Aptos"/>
          <w:spacing w:val="-1"/>
          <w:szCs w:val="28"/>
          <w:lang w:val="en-GB" w:eastAsia="zh-CN" w:bidi="th-TH"/>
        </w:rPr>
        <w:t xml:space="preserve"> 2022</w:t>
      </w:r>
      <w:r w:rsidR="00F140F0" w:rsidRPr="008702A4">
        <w:rPr>
          <w:spacing w:val="-1"/>
          <w:lang w:val="en-GB" w:eastAsia="zh-CN" w:bidi="th-TH"/>
        </w:rPr>
        <w:t>).</w:t>
      </w:r>
    </w:p>
    <w:p w14:paraId="501FD48B" w14:textId="77777777" w:rsidR="007B6C23" w:rsidRDefault="00CE6B92" w:rsidP="001B7F4E">
      <w:pPr>
        <w:rPr>
          <w:highlight w:val="white"/>
          <w:lang w:eastAsia="zh-CN" w:bidi="th-TH"/>
        </w:rPr>
      </w:pPr>
      <w:r w:rsidRPr="688499C8">
        <w:rPr>
          <w:highlight w:val="white"/>
          <w:lang w:eastAsia="zh-CN" w:bidi="th-TH"/>
        </w:rPr>
        <w:t>The trusted status of cultural and community institutions is linked to their independence from government and business and the collection, preservation and dissemination of various kinds of information</w:t>
      </w:r>
      <w:r w:rsidR="00F140F0">
        <w:rPr>
          <w:highlight w:val="white"/>
          <w:lang w:eastAsia="zh-CN" w:bidi="th-TH"/>
        </w:rPr>
        <w:t xml:space="preserve"> (</w:t>
      </w:r>
      <w:r w:rsidR="00204AD1" w:rsidRPr="00CE6B92">
        <w:rPr>
          <w:rFonts w:ascii="Aptos" w:eastAsia="Aptos" w:hAnsi="Aptos" w:cs="Aptos"/>
          <w:szCs w:val="28"/>
          <w:lang w:val="en-GB" w:eastAsia="zh-CN" w:bidi="th-TH"/>
        </w:rPr>
        <w:t xml:space="preserve">Bradshaw and </w:t>
      </w:r>
      <w:proofErr w:type="spellStart"/>
      <w:r w:rsidR="00204AD1" w:rsidRPr="00CE6B92">
        <w:rPr>
          <w:rFonts w:ascii="Aptos" w:eastAsia="Aptos" w:hAnsi="Aptos" w:cs="Aptos"/>
          <w:szCs w:val="28"/>
          <w:lang w:val="en-GB" w:eastAsia="zh-CN" w:bidi="th-TH"/>
        </w:rPr>
        <w:t>Neudert</w:t>
      </w:r>
      <w:proofErr w:type="spellEnd"/>
      <w:r w:rsidR="00204AD1" w:rsidRPr="00CE6B92">
        <w:rPr>
          <w:rFonts w:ascii="Aptos" w:eastAsia="Aptos" w:hAnsi="Aptos" w:cs="Aptos"/>
          <w:szCs w:val="28"/>
          <w:lang w:val="en-GB" w:eastAsia="zh-CN" w:bidi="th-TH"/>
        </w:rPr>
        <w:t xml:space="preserve"> 2021</w:t>
      </w:r>
      <w:r w:rsidR="00204AD1">
        <w:rPr>
          <w:rFonts w:ascii="Aptos" w:eastAsia="Aptos" w:hAnsi="Aptos" w:cs="Aptos"/>
          <w:szCs w:val="28"/>
          <w:lang w:val="en-GB" w:eastAsia="zh-CN" w:bidi="th-TH"/>
        </w:rPr>
        <w:t xml:space="preserve">; </w:t>
      </w:r>
      <w:r w:rsidR="00204AD1" w:rsidRPr="00CE6B92">
        <w:rPr>
          <w:rFonts w:ascii="Aptos" w:eastAsia="Aptos" w:hAnsi="Aptos" w:cs="Aptos"/>
          <w:szCs w:val="28"/>
          <w:lang w:val="en-GB" w:eastAsia="zh-CN" w:bidi="th-TH"/>
        </w:rPr>
        <w:t>Jackson 2025</w:t>
      </w:r>
      <w:r w:rsidR="00F140F0">
        <w:rPr>
          <w:highlight w:val="white"/>
          <w:lang w:eastAsia="zh-CN" w:bidi="th-TH"/>
        </w:rPr>
        <w:t>).</w:t>
      </w:r>
      <w:r w:rsidR="007B6C23">
        <w:rPr>
          <w:highlight w:val="white"/>
          <w:lang w:eastAsia="zh-CN" w:bidi="th-TH"/>
        </w:rPr>
        <w:t xml:space="preserve"> </w:t>
      </w:r>
      <w:r w:rsidRPr="688499C8">
        <w:rPr>
          <w:highlight w:val="white"/>
          <w:lang w:eastAsia="zh-CN" w:bidi="th-TH"/>
        </w:rPr>
        <w:t>GLAMs, for instance, manage and make publicly available cultural collections, and formal collection management practices strive to build impartial, credible collections</w:t>
      </w:r>
      <w:r w:rsidR="00F140F0">
        <w:rPr>
          <w:highlight w:val="white"/>
          <w:lang w:eastAsia="zh-CN" w:bidi="th-TH"/>
        </w:rPr>
        <w:t xml:space="preserve"> (</w:t>
      </w:r>
      <w:r w:rsidR="00204AD1" w:rsidRPr="00CE6B92">
        <w:rPr>
          <w:rFonts w:ascii="Aptos" w:eastAsia="Aptos" w:hAnsi="Aptos" w:cs="Aptos"/>
          <w:szCs w:val="28"/>
          <w:lang w:val="en-GB" w:eastAsia="zh-CN" w:bidi="th-TH"/>
        </w:rPr>
        <w:t>De Paor and Heravi 2020</w:t>
      </w:r>
      <w:r w:rsidR="00204AD1">
        <w:rPr>
          <w:rFonts w:ascii="Aptos" w:eastAsia="Aptos" w:hAnsi="Aptos" w:cs="Aptos"/>
          <w:szCs w:val="28"/>
          <w:lang w:val="en-GB" w:eastAsia="zh-CN" w:bidi="th-TH"/>
        </w:rPr>
        <w:t xml:space="preserve">; </w:t>
      </w:r>
      <w:r w:rsidR="00204AD1" w:rsidRPr="00CE6B92">
        <w:rPr>
          <w:rFonts w:ascii="Aptos" w:eastAsia="Aptos" w:hAnsi="Aptos" w:cs="Aptos"/>
          <w:szCs w:val="28"/>
          <w:lang w:val="en-GB" w:eastAsia="zh-CN" w:bidi="th-TH"/>
        </w:rPr>
        <w:t>Johns</w:t>
      </w:r>
      <w:r w:rsidR="0076745E">
        <w:rPr>
          <w:rFonts w:ascii="Aptos" w:eastAsia="Aptos" w:hAnsi="Aptos" w:cs="Aptos"/>
          <w:szCs w:val="28"/>
          <w:lang w:val="en-GB" w:eastAsia="zh-CN" w:bidi="th-TH"/>
        </w:rPr>
        <w:t>t</w:t>
      </w:r>
      <w:r w:rsidR="00204AD1" w:rsidRPr="00CE6B92">
        <w:rPr>
          <w:rFonts w:ascii="Aptos" w:eastAsia="Aptos" w:hAnsi="Aptos" w:cs="Aptos"/>
          <w:szCs w:val="28"/>
          <w:lang w:val="en-GB" w:eastAsia="zh-CN" w:bidi="th-TH"/>
        </w:rPr>
        <w:t>on 2023</w:t>
      </w:r>
      <w:r w:rsidR="00F140F0">
        <w:rPr>
          <w:highlight w:val="white"/>
          <w:lang w:eastAsia="zh-CN" w:bidi="th-TH"/>
        </w:rPr>
        <w:t>).</w:t>
      </w:r>
      <w:r w:rsidR="007B6C23">
        <w:rPr>
          <w:highlight w:val="white"/>
          <w:lang w:eastAsia="zh-CN" w:bidi="th-TH"/>
        </w:rPr>
        <w:t xml:space="preserve"> </w:t>
      </w:r>
      <w:r w:rsidRPr="688499C8">
        <w:rPr>
          <w:highlight w:val="white"/>
          <w:lang w:eastAsia="zh-CN" w:bidi="th-TH"/>
        </w:rPr>
        <w:t>Surveys find that the public view cultural collections as genuine artefacts and trusted sources of information</w:t>
      </w:r>
      <w:r w:rsidR="00F140F0">
        <w:rPr>
          <w:highlight w:val="white"/>
          <w:lang w:eastAsia="zh-CN" w:bidi="th-TH"/>
        </w:rPr>
        <w:t xml:space="preserve"> (</w:t>
      </w:r>
      <w:r w:rsidR="00F202C0" w:rsidRPr="00CE6B92">
        <w:rPr>
          <w:rFonts w:ascii="Aptos" w:eastAsia="Aptos" w:hAnsi="Aptos" w:cs="Aptos"/>
          <w:szCs w:val="28"/>
          <w:lang w:val="en-GB" w:eastAsia="zh-CN" w:bidi="th-TH"/>
        </w:rPr>
        <w:t>American Alliance of Museums 2021</w:t>
      </w:r>
      <w:r w:rsidR="00F202C0">
        <w:rPr>
          <w:rFonts w:ascii="Aptos" w:eastAsia="Aptos" w:hAnsi="Aptos" w:cs="Aptos"/>
          <w:szCs w:val="28"/>
          <w:lang w:val="en-GB" w:eastAsia="zh-CN" w:bidi="th-TH"/>
        </w:rPr>
        <w:t>; Evans 2021</w:t>
      </w:r>
      <w:r w:rsidR="00F140F0">
        <w:rPr>
          <w:highlight w:val="white"/>
          <w:lang w:eastAsia="zh-CN" w:bidi="th-TH"/>
        </w:rPr>
        <w:t>).</w:t>
      </w:r>
      <w:r w:rsidR="007B6C23">
        <w:rPr>
          <w:highlight w:val="white"/>
          <w:lang w:eastAsia="zh-CN" w:bidi="th-TH"/>
        </w:rPr>
        <w:t xml:space="preserve"> </w:t>
      </w:r>
      <w:r w:rsidRPr="688499C8">
        <w:rPr>
          <w:highlight w:val="white"/>
          <w:lang w:eastAsia="zh-CN" w:bidi="th-TH"/>
        </w:rPr>
        <w:t xml:space="preserve">Institutions are aware of and treat seriously this expectation. The National Library of Australia’s (NLA) Strategic Vision, for instance, notes that the library aims </w:t>
      </w:r>
      <w:r w:rsidR="005626AD" w:rsidRPr="688499C8">
        <w:rPr>
          <w:highlight w:val="white"/>
          <w:lang w:eastAsia="zh-CN" w:bidi="th-TH"/>
        </w:rPr>
        <w:t>‘</w:t>
      </w:r>
      <w:r w:rsidRPr="688499C8">
        <w:rPr>
          <w:highlight w:val="white"/>
          <w:lang w:eastAsia="zh-CN" w:bidi="th-TH"/>
        </w:rPr>
        <w:t>to maintain our position of trust by building our collections as impartially as we can</w:t>
      </w:r>
      <w:r w:rsidR="005626AD" w:rsidRPr="688499C8">
        <w:rPr>
          <w:highlight w:val="white"/>
          <w:lang w:eastAsia="zh-CN" w:bidi="th-TH"/>
        </w:rPr>
        <w:t>’</w:t>
      </w:r>
      <w:r w:rsidRPr="688499C8">
        <w:rPr>
          <w:highlight w:val="white"/>
          <w:lang w:eastAsia="zh-CN" w:bidi="th-TH"/>
        </w:rPr>
        <w:t xml:space="preserve"> and does </w:t>
      </w:r>
      <w:r w:rsidR="005626AD" w:rsidRPr="688499C8">
        <w:rPr>
          <w:highlight w:val="white"/>
          <w:lang w:eastAsia="zh-CN" w:bidi="th-TH"/>
        </w:rPr>
        <w:t>‘</w:t>
      </w:r>
      <w:r w:rsidRPr="688499C8">
        <w:rPr>
          <w:highlight w:val="white"/>
          <w:lang w:eastAsia="zh-CN" w:bidi="th-TH"/>
        </w:rPr>
        <w:t>not promote, censor or privilege views expressed in Australian publications</w:t>
      </w:r>
      <w:r w:rsidR="005626AD" w:rsidRPr="688499C8">
        <w:rPr>
          <w:highlight w:val="white"/>
          <w:lang w:eastAsia="zh-CN" w:bidi="th-TH"/>
        </w:rPr>
        <w:t>’</w:t>
      </w:r>
      <w:r w:rsidR="00F140F0">
        <w:rPr>
          <w:highlight w:val="white"/>
          <w:lang w:eastAsia="zh-CN" w:bidi="th-TH"/>
        </w:rPr>
        <w:t xml:space="preserve"> (</w:t>
      </w:r>
      <w:r w:rsidR="008C606F">
        <w:rPr>
          <w:rFonts w:ascii="Aptos" w:eastAsia="Aptos" w:hAnsi="Aptos" w:cs="Aptos"/>
          <w:szCs w:val="28"/>
          <w:lang w:val="en-GB" w:eastAsia="zh-CN" w:bidi="th-TH"/>
        </w:rPr>
        <w:t>NLA</w:t>
      </w:r>
      <w:r w:rsidR="00BD449E">
        <w:rPr>
          <w:rFonts w:ascii="Aptos" w:eastAsia="Aptos" w:hAnsi="Aptos" w:cs="Aptos"/>
          <w:szCs w:val="28"/>
          <w:lang w:val="en-GB" w:eastAsia="zh-CN" w:bidi="th-TH"/>
        </w:rPr>
        <w:t xml:space="preserve"> </w:t>
      </w:r>
      <w:r w:rsidR="00AB478A">
        <w:rPr>
          <w:rFonts w:ascii="Aptos" w:eastAsia="Aptos" w:hAnsi="Aptos" w:cs="Aptos"/>
          <w:szCs w:val="28"/>
          <w:lang w:val="en-GB" w:eastAsia="zh-CN" w:bidi="th-TH"/>
        </w:rPr>
        <w:t>2025</w:t>
      </w:r>
      <w:r w:rsidR="00F140F0">
        <w:rPr>
          <w:highlight w:val="white"/>
          <w:lang w:eastAsia="zh-CN" w:bidi="th-TH"/>
        </w:rPr>
        <w:t>).</w:t>
      </w:r>
    </w:p>
    <w:p w14:paraId="6658005F" w14:textId="77777777" w:rsidR="00CD32CB" w:rsidRDefault="00CE6B92" w:rsidP="001B7F4E">
      <w:pPr>
        <w:rPr>
          <w:highlight w:val="white"/>
          <w:lang w:val="en-GB" w:eastAsia="zh-CN" w:bidi="th-TH"/>
        </w:rPr>
      </w:pPr>
      <w:r w:rsidRPr="00CE6B92">
        <w:rPr>
          <w:highlight w:val="white"/>
          <w:lang w:val="en-GB" w:eastAsia="zh-CN" w:bidi="th-TH"/>
        </w:rPr>
        <w:t>Institutional trust and access to credible, accurate information is important in the face of polarisation in the public realm and an increasing distrust of expertise</w:t>
      </w:r>
      <w:r w:rsidR="00F140F0">
        <w:rPr>
          <w:lang w:val="en-GB" w:eastAsia="zh-CN" w:bidi="th-TH"/>
        </w:rPr>
        <w:t xml:space="preserve"> (</w:t>
      </w:r>
      <w:r w:rsidR="00AB478A" w:rsidRPr="00CE6B92">
        <w:rPr>
          <w:rFonts w:ascii="Aptos" w:eastAsia="Aptos" w:hAnsi="Aptos" w:cs="Aptos"/>
          <w:szCs w:val="28"/>
          <w:lang w:val="en-GB" w:eastAsia="zh-CN" w:bidi="th-TH"/>
        </w:rPr>
        <w:t>Turner</w:t>
      </w:r>
      <w:r w:rsidR="00AB478A">
        <w:rPr>
          <w:rFonts w:ascii="Aptos" w:eastAsia="Aptos" w:hAnsi="Aptos" w:cs="Aptos"/>
          <w:szCs w:val="28"/>
          <w:lang w:val="en-GB" w:eastAsia="zh-CN" w:bidi="th-TH"/>
        </w:rPr>
        <w:t xml:space="preserve"> 2023</w:t>
      </w:r>
      <w:r w:rsidR="00F140F0">
        <w:rPr>
          <w:lang w:val="en-GB" w:eastAsia="zh-CN" w:bidi="th-TH"/>
        </w:rPr>
        <w:t>).</w:t>
      </w:r>
      <w:r w:rsidR="007B6C23">
        <w:rPr>
          <w:lang w:val="en-GB" w:eastAsia="zh-CN" w:bidi="th-TH"/>
        </w:rPr>
        <w:t xml:space="preserve"> </w:t>
      </w:r>
      <w:r w:rsidRPr="00CE6B92">
        <w:rPr>
          <w:lang w:val="en-GB" w:eastAsia="zh-CN" w:bidi="th-TH"/>
        </w:rPr>
        <w:t>In the absence of trusted information and/or inadequate information, individuals may simply look elsewhere</w:t>
      </w:r>
      <w:r w:rsidR="00AB478A">
        <w:rPr>
          <w:lang w:val="en-GB" w:eastAsia="zh-CN" w:bidi="th-TH"/>
        </w:rPr>
        <w:t xml:space="preserve"> (</w:t>
      </w:r>
      <w:r w:rsidR="00AB478A" w:rsidRPr="00CE6B92">
        <w:rPr>
          <w:rFonts w:ascii="Aptos" w:eastAsia="Aptos" w:hAnsi="Aptos" w:cs="Aptos"/>
          <w:szCs w:val="28"/>
          <w:lang w:val="en-GB" w:eastAsia="zh-CN" w:bidi="th-TH"/>
        </w:rPr>
        <w:t>Cooke</w:t>
      </w:r>
      <w:r w:rsidR="00AB478A">
        <w:rPr>
          <w:rFonts w:ascii="Aptos" w:eastAsia="Aptos" w:hAnsi="Aptos" w:cs="Aptos"/>
          <w:szCs w:val="28"/>
          <w:lang w:val="en-GB" w:eastAsia="zh-CN" w:bidi="th-TH"/>
        </w:rPr>
        <w:t xml:space="preserve"> 2022; </w:t>
      </w:r>
      <w:r w:rsidR="00875948" w:rsidRPr="00CE6B92">
        <w:rPr>
          <w:rFonts w:ascii="Aptos" w:eastAsia="Aptos" w:hAnsi="Aptos" w:cs="Aptos"/>
          <w:szCs w:val="28"/>
          <w:lang w:val="en-GB" w:eastAsia="zh-CN" w:bidi="th-TH"/>
        </w:rPr>
        <w:t>Given</w:t>
      </w:r>
      <w:r w:rsidR="00875948">
        <w:rPr>
          <w:rFonts w:ascii="Aptos" w:eastAsia="Aptos" w:hAnsi="Aptos" w:cs="Aptos"/>
          <w:szCs w:val="28"/>
          <w:lang w:val="en-GB" w:eastAsia="zh-CN" w:bidi="th-TH"/>
        </w:rPr>
        <w:t xml:space="preserve"> et al. 2023; </w:t>
      </w:r>
      <w:r w:rsidR="00CE132F">
        <w:rPr>
          <w:rFonts w:ascii="Aptos" w:eastAsia="Aptos" w:hAnsi="Aptos" w:cs="Aptos"/>
          <w:szCs w:val="28"/>
          <w:lang w:val="en-GB" w:eastAsia="zh-CN" w:bidi="th-TH"/>
        </w:rPr>
        <w:t>Wall et al. 2017</w:t>
      </w:r>
      <w:r w:rsidR="00DF3B12">
        <w:rPr>
          <w:rFonts w:ascii="Aptos" w:eastAsia="Aptos" w:hAnsi="Aptos" w:cs="Aptos"/>
          <w:szCs w:val="28"/>
          <w:lang w:val="en-GB" w:eastAsia="zh-CN" w:bidi="th-TH"/>
        </w:rPr>
        <w:t>)</w:t>
      </w:r>
      <w:r w:rsidRPr="00CE6B92">
        <w:rPr>
          <w:lang w:val="en-GB" w:eastAsia="zh-CN" w:bidi="th-TH"/>
        </w:rPr>
        <w:t>,</w:t>
      </w:r>
      <w:r w:rsidR="00CD32CB">
        <w:rPr>
          <w:lang w:val="en-GB" w:eastAsia="zh-CN" w:bidi="th-TH"/>
        </w:rPr>
        <w:t xml:space="preserve"> </w:t>
      </w:r>
      <w:r w:rsidRPr="00CE6B92">
        <w:rPr>
          <w:lang w:val="en-GB" w:eastAsia="zh-CN" w:bidi="th-TH"/>
        </w:rPr>
        <w:t>and, as seen during the COVID</w:t>
      </w:r>
      <w:r w:rsidR="001404FB">
        <w:rPr>
          <w:lang w:val="en-GB" w:eastAsia="zh-CN" w:bidi="th-TH"/>
        </w:rPr>
        <w:noBreakHyphen/>
      </w:r>
      <w:r w:rsidRPr="00CE6B92">
        <w:rPr>
          <w:lang w:val="en-GB" w:eastAsia="zh-CN" w:bidi="th-TH"/>
        </w:rPr>
        <w:t>19 pandemic, it is here that echo chambers and</w:t>
      </w:r>
      <w:r w:rsidR="00EA5229">
        <w:rPr>
          <w:lang w:val="en-GB" w:eastAsia="zh-CN" w:bidi="th-TH"/>
        </w:rPr>
        <w:t xml:space="preserve"> mis- </w:t>
      </w:r>
      <w:r w:rsidR="001B7F4E">
        <w:rPr>
          <w:lang w:val="en-GB" w:eastAsia="zh-CN" w:bidi="th-TH"/>
        </w:rPr>
        <w:t>and disinformation</w:t>
      </w:r>
      <w:r w:rsidRPr="00CE6B92">
        <w:rPr>
          <w:lang w:val="en-GB" w:eastAsia="zh-CN" w:bidi="th-TH"/>
        </w:rPr>
        <w:t xml:space="preserve"> can take hold</w:t>
      </w:r>
      <w:r w:rsidR="00F140F0">
        <w:rPr>
          <w:lang w:val="en-GB" w:eastAsia="zh-CN" w:bidi="th-TH"/>
        </w:rPr>
        <w:t xml:space="preserve"> (</w:t>
      </w:r>
      <w:r w:rsidR="00DF3B12" w:rsidRPr="00CE6B92">
        <w:rPr>
          <w:rFonts w:ascii="Aptos" w:eastAsia="Aptos" w:hAnsi="Aptos" w:cs="Aptos"/>
          <w:szCs w:val="28"/>
          <w:lang w:val="en-GB" w:eastAsia="zh-CN" w:bidi="th-TH"/>
        </w:rPr>
        <w:t>Lachlan</w:t>
      </w:r>
      <w:r w:rsidR="00DF3B12">
        <w:rPr>
          <w:rFonts w:ascii="Aptos" w:eastAsia="Aptos" w:hAnsi="Aptos" w:cs="Aptos"/>
          <w:szCs w:val="28"/>
          <w:lang w:val="en-GB" w:eastAsia="zh-CN" w:bidi="th-TH"/>
        </w:rPr>
        <w:t xml:space="preserve"> et al. 2021</w:t>
      </w:r>
      <w:r w:rsidR="00F140F0">
        <w:rPr>
          <w:lang w:val="en-GB" w:eastAsia="zh-CN" w:bidi="th-TH"/>
        </w:rPr>
        <w:t>).</w:t>
      </w:r>
      <w:r w:rsidR="00CD32CB">
        <w:rPr>
          <w:lang w:val="en-GB" w:eastAsia="zh-CN" w:bidi="th-TH"/>
        </w:rPr>
        <w:t xml:space="preserve"> </w:t>
      </w:r>
      <w:r w:rsidRPr="00CE6B92">
        <w:rPr>
          <w:highlight w:val="white"/>
          <w:lang w:val="en-GB" w:eastAsia="zh-CN" w:bidi="th-TH"/>
        </w:rPr>
        <w:t>High trust affords institutions with the social capital to deliver interventions with targeted social outcomes</w:t>
      </w:r>
      <w:r w:rsidR="00DF3B12">
        <w:rPr>
          <w:highlight w:val="white"/>
          <w:lang w:val="en-GB" w:eastAsia="zh-CN" w:bidi="th-TH"/>
        </w:rPr>
        <w:t xml:space="preserve"> (</w:t>
      </w:r>
      <w:r w:rsidR="00DF3B12" w:rsidRPr="00CE6B92">
        <w:rPr>
          <w:rFonts w:ascii="Aptos" w:eastAsia="Aptos" w:hAnsi="Aptos" w:cs="Aptos"/>
          <w:szCs w:val="28"/>
          <w:lang w:val="en-GB" w:eastAsia="zh-CN" w:bidi="th-TH"/>
        </w:rPr>
        <w:t>Aldrich 2012</w:t>
      </w:r>
      <w:r w:rsidR="00DF3B12">
        <w:rPr>
          <w:rFonts w:ascii="Aptos" w:eastAsia="Aptos" w:hAnsi="Aptos" w:cs="Aptos"/>
          <w:szCs w:val="28"/>
          <w:lang w:val="en-GB" w:eastAsia="zh-CN" w:bidi="th-TH"/>
        </w:rPr>
        <w:t xml:space="preserve">; </w:t>
      </w:r>
      <w:r w:rsidR="00DF3B12" w:rsidRPr="00CE6B92">
        <w:rPr>
          <w:rFonts w:ascii="Aptos" w:eastAsia="Aptos" w:hAnsi="Aptos" w:cs="Aptos"/>
          <w:szCs w:val="28"/>
          <w:lang w:val="en-GB" w:eastAsia="zh-CN" w:bidi="th-TH"/>
        </w:rPr>
        <w:lastRenderedPageBreak/>
        <w:t>Grotz</w:t>
      </w:r>
      <w:r w:rsidR="00DF3B12">
        <w:rPr>
          <w:rFonts w:ascii="Aptos" w:eastAsia="Aptos" w:hAnsi="Aptos" w:cs="Aptos"/>
          <w:szCs w:val="28"/>
          <w:lang w:val="en-GB" w:eastAsia="zh-CN" w:bidi="th-TH"/>
        </w:rPr>
        <w:t xml:space="preserve"> </w:t>
      </w:r>
      <w:r w:rsidR="00DF3B12" w:rsidRPr="00CE6B92">
        <w:rPr>
          <w:rFonts w:ascii="Aptos" w:eastAsia="Aptos" w:hAnsi="Aptos" w:cs="Aptos"/>
          <w:szCs w:val="28"/>
          <w:lang w:val="en-GB" w:eastAsia="zh-CN" w:bidi="th-TH"/>
        </w:rPr>
        <w:t xml:space="preserve">and </w:t>
      </w:r>
      <w:proofErr w:type="spellStart"/>
      <w:r w:rsidR="00DF3B12" w:rsidRPr="00CE6B92">
        <w:rPr>
          <w:rFonts w:ascii="Aptos" w:eastAsia="Aptos" w:hAnsi="Aptos" w:cs="Aptos"/>
          <w:szCs w:val="28"/>
          <w:lang w:val="en-GB" w:eastAsia="zh-CN" w:bidi="th-TH"/>
        </w:rPr>
        <w:t>Rahemipour</w:t>
      </w:r>
      <w:proofErr w:type="spellEnd"/>
      <w:r w:rsidR="00DF3B12" w:rsidRPr="00CE6B92">
        <w:rPr>
          <w:rFonts w:ascii="Aptos" w:eastAsia="Aptos" w:hAnsi="Aptos" w:cs="Aptos"/>
          <w:szCs w:val="28"/>
          <w:lang w:val="en-GB" w:eastAsia="zh-CN" w:bidi="th-TH"/>
        </w:rPr>
        <w:t xml:space="preserve"> 2024</w:t>
      </w:r>
      <w:r w:rsidR="00DF3B12">
        <w:rPr>
          <w:rFonts w:ascii="Aptos" w:eastAsia="Aptos" w:hAnsi="Aptos" w:cs="Aptos"/>
          <w:szCs w:val="28"/>
          <w:lang w:val="en-GB" w:eastAsia="zh-CN" w:bidi="th-TH"/>
        </w:rPr>
        <w:t xml:space="preserve">; </w:t>
      </w:r>
      <w:r w:rsidR="00DF3B12" w:rsidRPr="00CE6B92">
        <w:rPr>
          <w:rFonts w:ascii="Aptos" w:eastAsia="Aptos" w:hAnsi="Aptos" w:cs="Aptos"/>
          <w:szCs w:val="28"/>
          <w:lang w:val="en-GB" w:eastAsia="zh-CN" w:bidi="th-TH"/>
        </w:rPr>
        <w:t>Leigh and Terrell 2020</w:t>
      </w:r>
      <w:r w:rsidR="00DF3B12">
        <w:rPr>
          <w:rFonts w:ascii="Aptos" w:eastAsia="Aptos" w:hAnsi="Aptos" w:cs="Aptos"/>
          <w:szCs w:val="28"/>
          <w:lang w:val="en-GB" w:eastAsia="zh-CN" w:bidi="th-TH"/>
        </w:rPr>
        <w:t xml:space="preserve">; </w:t>
      </w:r>
      <w:r w:rsidR="009E0547" w:rsidRPr="00CE6B92">
        <w:rPr>
          <w:rFonts w:ascii="Aptos" w:eastAsia="Aptos" w:hAnsi="Aptos" w:cs="Aptos"/>
          <w:szCs w:val="28"/>
          <w:lang w:val="en-GB" w:eastAsia="zh-CN" w:bidi="th-TH"/>
        </w:rPr>
        <w:t>Trinca 2024</w:t>
      </w:r>
      <w:r w:rsidR="009E0547">
        <w:rPr>
          <w:rFonts w:ascii="Aptos" w:eastAsia="Aptos" w:hAnsi="Aptos" w:cs="Aptos"/>
          <w:szCs w:val="28"/>
          <w:lang w:val="en-GB" w:eastAsia="zh-CN" w:bidi="th-TH"/>
        </w:rPr>
        <w:t xml:space="preserve">; </w:t>
      </w:r>
      <w:r w:rsidR="009E0547" w:rsidRPr="00CE6B92">
        <w:rPr>
          <w:rFonts w:ascii="Aptos" w:eastAsia="Aptos" w:hAnsi="Aptos" w:cs="Aptos"/>
          <w:szCs w:val="28"/>
          <w:lang w:val="en-GB" w:eastAsia="zh-CN" w:bidi="th-TH"/>
        </w:rPr>
        <w:t>Vivian</w:t>
      </w:r>
      <w:r w:rsidR="009E0547">
        <w:rPr>
          <w:rFonts w:ascii="Aptos" w:eastAsia="Aptos" w:hAnsi="Aptos" w:cs="Aptos"/>
          <w:szCs w:val="28"/>
          <w:lang w:val="en-GB" w:eastAsia="zh-CN" w:bidi="th-TH"/>
        </w:rPr>
        <w:t xml:space="preserve"> et al. 2024)</w:t>
      </w:r>
      <w:r w:rsidRPr="00CE6B92">
        <w:rPr>
          <w:highlight w:val="white"/>
          <w:lang w:val="en-GB" w:eastAsia="zh-CN" w:bidi="th-TH"/>
        </w:rPr>
        <w:t>,</w:t>
      </w:r>
      <w:r w:rsidR="00CD32CB">
        <w:rPr>
          <w:highlight w:val="white"/>
          <w:lang w:val="en-GB" w:eastAsia="zh-CN" w:bidi="th-TH"/>
        </w:rPr>
        <w:t xml:space="preserve"> </w:t>
      </w:r>
      <w:r w:rsidRPr="00CE6B92">
        <w:rPr>
          <w:highlight w:val="white"/>
          <w:lang w:val="en-GB" w:eastAsia="zh-CN" w:bidi="th-TH"/>
        </w:rPr>
        <w:t>including greater inclusivity and civic engagement and the critical thinking skills needed for information resilience</w:t>
      </w:r>
      <w:r w:rsidR="00F140F0">
        <w:rPr>
          <w:highlight w:val="white"/>
          <w:lang w:val="en-GB" w:eastAsia="zh-CN" w:bidi="th-TH"/>
        </w:rPr>
        <w:t xml:space="preserve"> (</w:t>
      </w:r>
      <w:r w:rsidR="009E0547" w:rsidRPr="00CE6B92">
        <w:rPr>
          <w:rFonts w:ascii="Aptos" w:eastAsia="Aptos" w:hAnsi="Aptos" w:cs="Aptos"/>
          <w:szCs w:val="28"/>
          <w:lang w:val="en-GB" w:eastAsia="zh-CN" w:bidi="th-TH"/>
        </w:rPr>
        <w:t>Aldrich 2023</w:t>
      </w:r>
      <w:r w:rsidR="009E0547">
        <w:rPr>
          <w:rFonts w:ascii="Aptos" w:eastAsia="Aptos" w:hAnsi="Aptos" w:cs="Aptos"/>
          <w:szCs w:val="28"/>
          <w:lang w:val="en-GB" w:eastAsia="zh-CN" w:bidi="th-TH"/>
        </w:rPr>
        <w:t xml:space="preserve">a; </w:t>
      </w:r>
      <w:r w:rsidR="009E0547" w:rsidRPr="00CE6B92">
        <w:rPr>
          <w:rFonts w:ascii="Aptos" w:eastAsia="Aptos" w:hAnsi="Aptos" w:cs="Aptos"/>
          <w:szCs w:val="28"/>
          <w:lang w:val="en-GB" w:eastAsia="zh-CN" w:bidi="th-TH"/>
        </w:rPr>
        <w:t xml:space="preserve">Bradshaw and </w:t>
      </w:r>
      <w:proofErr w:type="spellStart"/>
      <w:r w:rsidR="009E0547" w:rsidRPr="00CE6B92">
        <w:rPr>
          <w:rFonts w:ascii="Aptos" w:eastAsia="Aptos" w:hAnsi="Aptos" w:cs="Aptos"/>
          <w:szCs w:val="28"/>
          <w:lang w:val="en-GB" w:eastAsia="zh-CN" w:bidi="th-TH"/>
        </w:rPr>
        <w:t>Neudert</w:t>
      </w:r>
      <w:proofErr w:type="spellEnd"/>
      <w:r w:rsidR="009E0547" w:rsidRPr="00CE6B92">
        <w:rPr>
          <w:rFonts w:ascii="Aptos" w:eastAsia="Aptos" w:hAnsi="Aptos" w:cs="Aptos"/>
          <w:szCs w:val="28"/>
          <w:lang w:val="en-GB" w:eastAsia="zh-CN" w:bidi="th-TH"/>
        </w:rPr>
        <w:t xml:space="preserve"> 2021</w:t>
      </w:r>
      <w:r w:rsidR="00F140F0">
        <w:rPr>
          <w:highlight w:val="white"/>
          <w:lang w:val="en-GB" w:eastAsia="zh-CN" w:bidi="th-TH"/>
        </w:rPr>
        <w:t>).</w:t>
      </w:r>
    </w:p>
    <w:p w14:paraId="2CBEE191" w14:textId="67128C65" w:rsidR="00CE6B92" w:rsidRPr="00CE6B92" w:rsidRDefault="00CE6B92" w:rsidP="001B7F4E">
      <w:pPr>
        <w:rPr>
          <w:lang w:val="en-GB" w:eastAsia="zh-CN" w:bidi="th-TH"/>
        </w:rPr>
      </w:pPr>
      <w:r w:rsidRPr="00CE6B92">
        <w:rPr>
          <w:highlight w:val="white"/>
          <w:lang w:val="en-GB" w:eastAsia="zh-CN" w:bidi="th-TH"/>
        </w:rPr>
        <w:t xml:space="preserve">Trust in cultural and community institutions is particularly significant in </w:t>
      </w:r>
      <w:r w:rsidRPr="00CE6B92">
        <w:rPr>
          <w:lang w:val="en-GB" w:eastAsia="zh-CN" w:bidi="th-TH"/>
        </w:rPr>
        <w:t>regional and remote communities. These institutions are generally staffed by people who live locally and understand community concerns, making them well</w:t>
      </w:r>
      <w:r w:rsidR="001404FB">
        <w:rPr>
          <w:lang w:val="en-GB" w:eastAsia="zh-CN" w:bidi="th-TH"/>
        </w:rPr>
        <w:noBreakHyphen/>
      </w:r>
      <w:r w:rsidRPr="00CE6B92">
        <w:rPr>
          <w:lang w:val="en-GB" w:eastAsia="zh-CN" w:bidi="th-TH"/>
        </w:rPr>
        <w:t>placed to facilitate dialogue and provide locally situated interventions</w:t>
      </w:r>
      <w:r w:rsidR="00F140F0">
        <w:rPr>
          <w:lang w:val="en-GB" w:eastAsia="zh-CN" w:bidi="th-TH"/>
        </w:rPr>
        <w:t xml:space="preserve"> (</w:t>
      </w:r>
      <w:r w:rsidR="009E0547" w:rsidRPr="00CE6B92">
        <w:rPr>
          <w:rFonts w:ascii="Aptos" w:eastAsia="Aptos" w:hAnsi="Aptos" w:cs="Aptos"/>
          <w:szCs w:val="28"/>
          <w:lang w:val="en-GB" w:eastAsia="zh-CN" w:bidi="th-TH"/>
        </w:rPr>
        <w:t>Cameron and Neilson 2015</w:t>
      </w:r>
      <w:r w:rsidR="009E0547">
        <w:rPr>
          <w:rFonts w:ascii="Aptos" w:eastAsia="Aptos" w:hAnsi="Aptos" w:cs="Aptos"/>
          <w:szCs w:val="28"/>
          <w:lang w:val="en-GB" w:eastAsia="zh-CN" w:bidi="th-TH"/>
        </w:rPr>
        <w:t xml:space="preserve">; </w:t>
      </w:r>
      <w:r w:rsidR="009E0547" w:rsidRPr="00CE6B92">
        <w:rPr>
          <w:rFonts w:ascii="Aptos" w:eastAsia="Aptos" w:hAnsi="Aptos" w:cs="Aptos"/>
          <w:szCs w:val="28"/>
          <w:lang w:val="en-GB" w:eastAsia="zh-CN" w:bidi="th-TH"/>
        </w:rPr>
        <w:t>Newell 2021</w:t>
      </w:r>
      <w:r w:rsidR="00C14775">
        <w:rPr>
          <w:rFonts w:ascii="Aptos" w:eastAsia="Aptos" w:hAnsi="Aptos" w:cs="Aptos"/>
          <w:szCs w:val="28"/>
          <w:lang w:val="en-GB" w:eastAsia="zh-CN" w:bidi="th-TH"/>
        </w:rPr>
        <w:t xml:space="preserve">; </w:t>
      </w:r>
      <w:r w:rsidR="00C14775" w:rsidRPr="00CE6B92">
        <w:rPr>
          <w:rFonts w:ascii="Aptos" w:eastAsia="Aptos" w:hAnsi="Aptos" w:cs="Aptos"/>
          <w:szCs w:val="28"/>
          <w:lang w:val="en-GB" w:eastAsia="zh-CN" w:bidi="th-TH"/>
        </w:rPr>
        <w:t>Riboldi</w:t>
      </w:r>
      <w:r w:rsidR="00C14775">
        <w:rPr>
          <w:rFonts w:ascii="Aptos" w:eastAsia="Aptos" w:hAnsi="Aptos" w:cs="Aptos"/>
          <w:szCs w:val="28"/>
          <w:lang w:val="en-GB" w:eastAsia="zh-CN" w:bidi="th-TH"/>
        </w:rPr>
        <w:t xml:space="preserve"> </w:t>
      </w:r>
      <w:r w:rsidR="003E1FC3">
        <w:rPr>
          <w:rFonts w:ascii="Aptos" w:eastAsia="Aptos" w:hAnsi="Aptos" w:cs="Aptos"/>
          <w:szCs w:val="28"/>
          <w:lang w:val="en-GB" w:eastAsia="zh-CN" w:bidi="th-TH"/>
        </w:rPr>
        <w:t>et al.</w:t>
      </w:r>
      <w:r w:rsidR="00B274F0">
        <w:rPr>
          <w:rFonts w:ascii="Aptos" w:eastAsia="Aptos" w:hAnsi="Aptos" w:cs="Aptos"/>
          <w:szCs w:val="28"/>
          <w:lang w:val="en-GB" w:eastAsia="zh-CN" w:bidi="th-TH"/>
        </w:rPr>
        <w:t xml:space="preserve"> </w:t>
      </w:r>
      <w:r w:rsidR="00C14775">
        <w:rPr>
          <w:rFonts w:ascii="Aptos" w:eastAsia="Aptos" w:hAnsi="Aptos" w:cs="Aptos"/>
          <w:szCs w:val="28"/>
          <w:lang w:val="en-GB" w:eastAsia="zh-CN" w:bidi="th-TH"/>
        </w:rPr>
        <w:t>2022</w:t>
      </w:r>
      <w:r w:rsidR="00F140F0">
        <w:rPr>
          <w:lang w:val="en-GB" w:eastAsia="zh-CN" w:bidi="th-TH"/>
        </w:rPr>
        <w:t>).</w:t>
      </w:r>
      <w:r w:rsidR="00CD32CB">
        <w:rPr>
          <w:lang w:val="en-GB" w:eastAsia="zh-CN" w:bidi="th-TH"/>
        </w:rPr>
        <w:t xml:space="preserve"> </w:t>
      </w:r>
      <w:proofErr w:type="spellStart"/>
      <w:r w:rsidRPr="00CE6B92">
        <w:rPr>
          <w:lang w:val="en-GB" w:eastAsia="zh-CN" w:bidi="th-TH"/>
        </w:rPr>
        <w:t>Questacon</w:t>
      </w:r>
      <w:proofErr w:type="spellEnd"/>
      <w:r w:rsidRPr="00CE6B92">
        <w:rPr>
          <w:lang w:val="en-GB" w:eastAsia="zh-CN" w:bidi="th-TH"/>
        </w:rPr>
        <w:t xml:space="preserve"> has travelling pop</w:t>
      </w:r>
      <w:r w:rsidR="001404FB">
        <w:rPr>
          <w:lang w:val="en-GB" w:eastAsia="zh-CN" w:bidi="th-TH"/>
        </w:rPr>
        <w:noBreakHyphen/>
      </w:r>
      <w:r w:rsidRPr="00CE6B92">
        <w:rPr>
          <w:lang w:val="en-GB" w:eastAsia="zh-CN" w:bidi="th-TH"/>
        </w:rPr>
        <w:t>up exhibitions in cultural and community spaces outside major metropolitan areas, allowing it to engage new audiences and spark curiosity in STEM within community spaces</w:t>
      </w:r>
      <w:r w:rsidR="00C14775">
        <w:rPr>
          <w:lang w:val="en-GB" w:eastAsia="zh-CN" w:bidi="th-TH"/>
        </w:rPr>
        <w:t xml:space="preserve"> (</w:t>
      </w:r>
      <w:proofErr w:type="spellStart"/>
      <w:r w:rsidR="00C14775" w:rsidRPr="00CE6B92">
        <w:rPr>
          <w:rFonts w:ascii="Aptos" w:eastAsia="Aptos" w:hAnsi="Aptos" w:cs="Aptos"/>
          <w:szCs w:val="28"/>
          <w:lang w:val="en-GB" w:eastAsia="zh-CN" w:bidi="th-TH"/>
        </w:rPr>
        <w:t>Questacon</w:t>
      </w:r>
      <w:proofErr w:type="spellEnd"/>
      <w:r w:rsidR="00C14775" w:rsidRPr="00CE6B92">
        <w:rPr>
          <w:rFonts w:ascii="Aptos" w:eastAsia="Aptos" w:hAnsi="Aptos" w:cs="Aptos"/>
          <w:szCs w:val="28"/>
          <w:lang w:val="en-GB" w:eastAsia="zh-CN" w:bidi="th-TH"/>
        </w:rPr>
        <w:t xml:space="preserve"> 2021</w:t>
      </w:r>
      <w:r w:rsidR="00B65221">
        <w:rPr>
          <w:rFonts w:ascii="Aptos" w:eastAsia="Aptos" w:hAnsi="Aptos" w:cs="Aptos"/>
          <w:szCs w:val="28"/>
          <w:lang w:val="en-GB" w:eastAsia="zh-CN" w:bidi="th-TH"/>
        </w:rPr>
        <w:t>,</w:t>
      </w:r>
      <w:r w:rsidR="00C14775" w:rsidRPr="00CE6B92">
        <w:rPr>
          <w:rFonts w:ascii="Aptos" w:eastAsia="Aptos" w:hAnsi="Aptos" w:cs="Aptos"/>
          <w:szCs w:val="28"/>
          <w:lang w:val="en-GB" w:eastAsia="zh-CN" w:bidi="th-TH"/>
        </w:rPr>
        <w:t xml:space="preserve"> </w:t>
      </w:r>
      <w:r w:rsidR="00C14775">
        <w:rPr>
          <w:rFonts w:ascii="Aptos" w:eastAsia="Aptos" w:hAnsi="Aptos" w:cs="Aptos"/>
          <w:szCs w:val="28"/>
          <w:lang w:val="en-GB" w:eastAsia="zh-CN" w:bidi="th-TH"/>
        </w:rPr>
        <w:t>2</w:t>
      </w:r>
      <w:r w:rsidR="00C14775" w:rsidRPr="00CE6B92">
        <w:rPr>
          <w:rFonts w:ascii="Aptos" w:eastAsia="Aptos" w:hAnsi="Aptos" w:cs="Aptos"/>
          <w:szCs w:val="28"/>
          <w:lang w:val="en-GB" w:eastAsia="zh-CN" w:bidi="th-TH"/>
        </w:rPr>
        <w:t>02</w:t>
      </w:r>
      <w:r w:rsidR="00C14775">
        <w:rPr>
          <w:rFonts w:ascii="Aptos" w:eastAsia="Aptos" w:hAnsi="Aptos" w:cs="Aptos"/>
          <w:szCs w:val="28"/>
          <w:lang w:val="en-GB" w:eastAsia="zh-CN" w:bidi="th-TH"/>
        </w:rPr>
        <w:t>2)</w:t>
      </w:r>
      <w:r w:rsidRPr="00CE6B92">
        <w:rPr>
          <w:lang w:val="en-GB" w:eastAsia="zh-CN" w:bidi="th-TH"/>
        </w:rPr>
        <w:t>,</w:t>
      </w:r>
      <w:r w:rsidR="00CD32CB">
        <w:rPr>
          <w:lang w:val="en-GB" w:eastAsia="zh-CN" w:bidi="th-TH"/>
        </w:rPr>
        <w:t xml:space="preserve"> </w:t>
      </w:r>
      <w:r w:rsidRPr="00CE6B92">
        <w:rPr>
          <w:lang w:val="en-GB" w:eastAsia="zh-CN" w:bidi="th-TH"/>
        </w:rPr>
        <w:t>conceivably neutralising potentially polarising issues like climate change through proximity to trusted institutions and community members.</w:t>
      </w:r>
    </w:p>
    <w:p w14:paraId="31E044EE" w14:textId="0A4EA9F1" w:rsidR="00CE6B92" w:rsidRPr="00CE6B92" w:rsidRDefault="00CE6B92" w:rsidP="00057DF3">
      <w:pPr>
        <w:pStyle w:val="Heading3Numbered"/>
        <w:rPr>
          <w:highlight w:val="white"/>
          <w:lang w:val="en-GB" w:eastAsia="zh-CN" w:bidi="th-TH"/>
        </w:rPr>
      </w:pPr>
      <w:bookmarkStart w:id="36" w:name="_Toc218517318"/>
      <w:r w:rsidRPr="00CE6B92">
        <w:rPr>
          <w:highlight w:val="white"/>
          <w:lang w:val="en-GB" w:eastAsia="zh-CN" w:bidi="th-TH"/>
        </w:rPr>
        <w:t>Enabling and encouraging civic engagement and social</w:t>
      </w:r>
      <w:r w:rsidR="001404FB">
        <w:rPr>
          <w:highlight w:val="white"/>
          <w:lang w:val="en-GB" w:eastAsia="zh-CN" w:bidi="th-TH"/>
        </w:rPr>
        <w:t> </w:t>
      </w:r>
      <w:r w:rsidRPr="00CE6B92">
        <w:rPr>
          <w:highlight w:val="white"/>
          <w:lang w:val="en-GB" w:eastAsia="zh-CN" w:bidi="th-TH"/>
        </w:rPr>
        <w:t>connection</w:t>
      </w:r>
      <w:bookmarkEnd w:id="36"/>
    </w:p>
    <w:p w14:paraId="03C11C5B" w14:textId="06A4D399" w:rsidR="00CE6B92" w:rsidRPr="00057DF3" w:rsidRDefault="00CE6B92" w:rsidP="001404FB">
      <w:pPr>
        <w:rPr>
          <w:highlight w:val="white"/>
        </w:rPr>
      </w:pPr>
      <w:r w:rsidRPr="00057DF3">
        <w:rPr>
          <w:highlight w:val="white"/>
        </w:rPr>
        <w:t xml:space="preserve">Cultural and community institutions are critical social infrastructure and key sites of civic engagement. They enable and promote learning about and participating in public life, </w:t>
      </w:r>
      <w:r w:rsidRPr="00057DF3">
        <w:t>act as critical sources of information and support during emergencies and build the bridging and linking ties that support the conditions for resilient communities.</w:t>
      </w:r>
      <w:r w:rsidRPr="00057DF3">
        <w:rPr>
          <w:highlight w:val="white"/>
        </w:rPr>
        <w:t xml:space="preserve"> There is a considerable opportunity to learn from case studies in Australia and overseas and translate lessons to interventions targeting information resilience and community cohesion more broadly. </w:t>
      </w:r>
    </w:p>
    <w:p w14:paraId="428E6BDB" w14:textId="77777777" w:rsidR="00CD32CB" w:rsidRDefault="00CE6B92" w:rsidP="001B7F4E">
      <w:pPr>
        <w:rPr>
          <w:lang w:val="en-GB" w:eastAsia="zh-CN" w:bidi="th-TH"/>
        </w:rPr>
      </w:pPr>
      <w:r w:rsidRPr="00CE6B92">
        <w:rPr>
          <w:highlight w:val="white"/>
          <w:lang w:val="en-GB" w:eastAsia="zh-CN" w:bidi="th-TH"/>
        </w:rPr>
        <w:t>The trusted and valued status of community and cultural institutions is reinforced by their role as critical social infrastructure. Social infrastructure encourages and enables civic participation, which helps build and s</w:t>
      </w:r>
      <w:r w:rsidRPr="00CE6B92">
        <w:rPr>
          <w:lang w:val="en-GB" w:eastAsia="zh-CN" w:bidi="th-TH"/>
        </w:rPr>
        <w:t>trengthen the diverse bridging ties that support the conditions for trust, connection and community resilience</w:t>
      </w:r>
      <w:r w:rsidR="00F140F0">
        <w:rPr>
          <w:lang w:val="en-GB" w:eastAsia="zh-CN" w:bidi="th-TH"/>
        </w:rPr>
        <w:t xml:space="preserve"> (</w:t>
      </w:r>
      <w:r w:rsidR="002D1430">
        <w:rPr>
          <w:lang w:val="en-GB" w:eastAsia="zh-CN" w:bidi="th-TH"/>
        </w:rPr>
        <w:t>Aldrich</w:t>
      </w:r>
      <w:r w:rsidR="005A7C88">
        <w:rPr>
          <w:lang w:val="en-GB" w:eastAsia="zh-CN" w:bidi="th-TH"/>
        </w:rPr>
        <w:t xml:space="preserve"> 2012; </w:t>
      </w:r>
      <w:r w:rsidR="005A7C88" w:rsidRPr="00CE6B92">
        <w:rPr>
          <w:rFonts w:ascii="Aptos" w:eastAsia="Aptos" w:hAnsi="Aptos" w:cs="Aptos"/>
          <w:szCs w:val="28"/>
          <w:lang w:val="en-GB" w:eastAsia="zh-CN" w:bidi="th-TH"/>
        </w:rPr>
        <w:t>Fraser</w:t>
      </w:r>
      <w:r w:rsidR="005A7C88">
        <w:rPr>
          <w:rFonts w:ascii="Aptos" w:eastAsia="Aptos" w:hAnsi="Aptos" w:cs="Aptos"/>
          <w:szCs w:val="28"/>
          <w:lang w:val="en-GB" w:eastAsia="zh-CN" w:bidi="th-TH"/>
        </w:rPr>
        <w:t xml:space="preserve"> et al. 2022</w:t>
      </w:r>
      <w:r w:rsidR="00F140F0">
        <w:rPr>
          <w:lang w:val="en-GB" w:eastAsia="zh-CN" w:bidi="th-TH"/>
        </w:rPr>
        <w:t>).</w:t>
      </w:r>
    </w:p>
    <w:p w14:paraId="2D7F9794" w14:textId="77777777" w:rsidR="00CD32CB" w:rsidRDefault="00CE6B92" w:rsidP="001B7F4E">
      <w:pPr>
        <w:rPr>
          <w:lang w:val="en-GB" w:eastAsia="zh-CN" w:bidi="th-TH"/>
        </w:rPr>
      </w:pPr>
      <w:r w:rsidRPr="00CE6B92">
        <w:rPr>
          <w:lang w:val="en-GB" w:eastAsia="zh-CN" w:bidi="th-TH"/>
        </w:rPr>
        <w:t>Extensive academic</w:t>
      </w:r>
      <w:r w:rsidR="005A7C88">
        <w:rPr>
          <w:lang w:val="en-GB" w:eastAsia="zh-CN" w:bidi="th-TH"/>
        </w:rPr>
        <w:t xml:space="preserve"> (</w:t>
      </w:r>
      <w:proofErr w:type="spellStart"/>
      <w:r w:rsidR="002C61A9" w:rsidRPr="00CE6B92">
        <w:rPr>
          <w:rFonts w:ascii="Aptos" w:eastAsia="Aptos" w:hAnsi="Aptos" w:cs="Aptos"/>
          <w:szCs w:val="28"/>
          <w:lang w:val="en-GB" w:eastAsia="zh-CN" w:bidi="th-TH"/>
        </w:rPr>
        <w:t>Brownett</w:t>
      </w:r>
      <w:proofErr w:type="spellEnd"/>
      <w:r w:rsidR="002C61A9">
        <w:rPr>
          <w:rFonts w:ascii="Aptos" w:eastAsia="Aptos" w:hAnsi="Aptos" w:cs="Aptos"/>
          <w:szCs w:val="28"/>
          <w:lang w:val="en-GB" w:eastAsia="zh-CN" w:bidi="th-TH"/>
        </w:rPr>
        <w:t xml:space="preserve"> 2018; </w:t>
      </w:r>
      <w:r w:rsidR="002C61A9" w:rsidRPr="00CE6B92">
        <w:rPr>
          <w:rFonts w:ascii="Aptos" w:eastAsia="Aptos" w:hAnsi="Aptos" w:cs="Aptos"/>
          <w:szCs w:val="28"/>
          <w:lang w:val="en-GB" w:eastAsia="zh-CN" w:bidi="th-TH"/>
        </w:rPr>
        <w:t>Perkins</w:t>
      </w:r>
      <w:r w:rsidR="00EA46E7">
        <w:rPr>
          <w:rFonts w:ascii="Aptos" w:eastAsia="Aptos" w:hAnsi="Aptos" w:cs="Aptos"/>
          <w:szCs w:val="28"/>
          <w:lang w:val="en-GB" w:eastAsia="zh-CN" w:bidi="th-TH"/>
        </w:rPr>
        <w:t xml:space="preserve"> et al. 2021; </w:t>
      </w:r>
      <w:proofErr w:type="spellStart"/>
      <w:r w:rsidR="00EA46E7" w:rsidRPr="00CE6B92">
        <w:rPr>
          <w:rFonts w:ascii="Aptos" w:eastAsia="Aptos" w:hAnsi="Aptos" w:cs="Aptos"/>
          <w:szCs w:val="28"/>
          <w:lang w:val="en-GB" w:eastAsia="zh-CN" w:bidi="th-TH"/>
        </w:rPr>
        <w:t>Gattenhof</w:t>
      </w:r>
      <w:proofErr w:type="spellEnd"/>
      <w:r w:rsidR="00EA46E7">
        <w:rPr>
          <w:rFonts w:ascii="Aptos" w:eastAsia="Aptos" w:hAnsi="Aptos" w:cs="Aptos"/>
          <w:szCs w:val="28"/>
          <w:lang w:val="en-GB" w:eastAsia="zh-CN" w:bidi="th-TH"/>
        </w:rPr>
        <w:t xml:space="preserve"> et al. 2023</w:t>
      </w:r>
      <w:r w:rsidR="005A7C88">
        <w:rPr>
          <w:lang w:val="en-GB" w:eastAsia="zh-CN" w:bidi="th-TH"/>
        </w:rPr>
        <w:t>)</w:t>
      </w:r>
      <w:r w:rsidR="00CD32CB">
        <w:rPr>
          <w:lang w:val="en-GB" w:eastAsia="zh-CN" w:bidi="th-TH"/>
        </w:rPr>
        <w:t xml:space="preserve"> </w:t>
      </w:r>
      <w:r w:rsidRPr="00CE6B92">
        <w:rPr>
          <w:lang w:val="en-GB" w:eastAsia="zh-CN" w:bidi="th-TH"/>
        </w:rPr>
        <w:t>and grey literature</w:t>
      </w:r>
      <w:r w:rsidR="00EA46E7">
        <w:rPr>
          <w:lang w:val="en-GB" w:eastAsia="zh-CN" w:bidi="th-TH"/>
        </w:rPr>
        <w:t xml:space="preserve"> (</w:t>
      </w:r>
      <w:r w:rsidR="00EA46E7" w:rsidRPr="00CE6B92">
        <w:rPr>
          <w:rFonts w:ascii="Aptos" w:eastAsia="Aptos" w:hAnsi="Aptos" w:cs="Aptos"/>
          <w:szCs w:val="28"/>
          <w:lang w:val="en-GB" w:eastAsia="zh-CN" w:bidi="th-TH"/>
        </w:rPr>
        <w:t>Blatt</w:t>
      </w:r>
      <w:r w:rsidR="00EA46E7">
        <w:rPr>
          <w:rFonts w:ascii="Aptos" w:eastAsia="Aptos" w:hAnsi="Aptos" w:cs="Aptos"/>
          <w:szCs w:val="28"/>
          <w:lang w:val="en-GB" w:eastAsia="zh-CN" w:bidi="th-TH"/>
        </w:rPr>
        <w:t xml:space="preserve"> et al.</w:t>
      </w:r>
      <w:r w:rsidR="00B152C0">
        <w:rPr>
          <w:rFonts w:ascii="Aptos" w:eastAsia="Aptos" w:hAnsi="Aptos" w:cs="Aptos"/>
          <w:szCs w:val="28"/>
          <w:lang w:val="en-GB" w:eastAsia="zh-CN" w:bidi="th-TH"/>
        </w:rPr>
        <w:t xml:space="preserve"> 2024; </w:t>
      </w:r>
      <w:r w:rsidR="00B152C0" w:rsidRPr="00CE6B92">
        <w:rPr>
          <w:rFonts w:ascii="Aptos" w:eastAsia="Aptos" w:hAnsi="Aptos" w:cs="Aptos"/>
          <w:szCs w:val="28"/>
          <w:lang w:val="en-GB" w:eastAsia="zh-CN" w:bidi="th-TH"/>
        </w:rPr>
        <w:t>Creative Australia 2023</w:t>
      </w:r>
      <w:r w:rsidR="00B152C0">
        <w:rPr>
          <w:rFonts w:ascii="Aptos" w:eastAsia="Aptos" w:hAnsi="Aptos" w:cs="Aptos"/>
          <w:szCs w:val="28"/>
          <w:lang w:val="en-GB" w:eastAsia="zh-CN" w:bidi="th-TH"/>
        </w:rPr>
        <w:t xml:space="preserve">; </w:t>
      </w:r>
      <w:r w:rsidR="00B152C0" w:rsidRPr="00CE6B92">
        <w:rPr>
          <w:rFonts w:ascii="Aptos" w:eastAsia="Aptos" w:hAnsi="Aptos" w:cs="Aptos"/>
          <w:szCs w:val="28"/>
          <w:lang w:val="en-GB" w:eastAsia="zh-CN" w:bidi="th-TH"/>
        </w:rPr>
        <w:t xml:space="preserve">Davis and </w:t>
      </w:r>
      <w:proofErr w:type="spellStart"/>
      <w:r w:rsidR="00B152C0" w:rsidRPr="00CE6B92">
        <w:rPr>
          <w:rFonts w:ascii="Aptos" w:eastAsia="Aptos" w:hAnsi="Aptos" w:cs="Aptos"/>
          <w:szCs w:val="28"/>
          <w:lang w:val="en-GB" w:eastAsia="zh-CN" w:bidi="th-TH"/>
        </w:rPr>
        <w:t>Pescud</w:t>
      </w:r>
      <w:proofErr w:type="spellEnd"/>
      <w:r w:rsidR="00B152C0" w:rsidRPr="00CE6B92">
        <w:rPr>
          <w:rFonts w:ascii="Aptos" w:eastAsia="Aptos" w:hAnsi="Aptos" w:cs="Aptos"/>
          <w:szCs w:val="28"/>
          <w:lang w:val="en-GB" w:eastAsia="zh-CN" w:bidi="th-TH"/>
        </w:rPr>
        <w:t xml:space="preserve"> 2020</w:t>
      </w:r>
      <w:r w:rsidR="00EB668D">
        <w:rPr>
          <w:rFonts w:ascii="Aptos" w:eastAsia="Aptos" w:hAnsi="Aptos" w:cs="Aptos"/>
          <w:szCs w:val="28"/>
          <w:lang w:val="en-GB" w:eastAsia="zh-CN" w:bidi="th-TH"/>
        </w:rPr>
        <w:t xml:space="preserve">; </w:t>
      </w:r>
      <w:r w:rsidR="001C1D71" w:rsidRPr="00CE6B92">
        <w:rPr>
          <w:rFonts w:ascii="Aptos" w:eastAsia="Aptos" w:hAnsi="Aptos" w:cs="Aptos"/>
          <w:szCs w:val="28"/>
          <w:lang w:val="en-GB" w:eastAsia="zh-CN" w:bidi="th-TH"/>
        </w:rPr>
        <w:t>Rentschler</w:t>
      </w:r>
      <w:r w:rsidR="001C1D71">
        <w:rPr>
          <w:rFonts w:ascii="Aptos" w:eastAsia="Aptos" w:hAnsi="Aptos" w:cs="Aptos"/>
          <w:szCs w:val="28"/>
          <w:lang w:val="en-GB" w:eastAsia="zh-CN" w:bidi="th-TH"/>
        </w:rPr>
        <w:t xml:space="preserve"> et al. 2015; </w:t>
      </w:r>
      <w:r w:rsidR="001C1D71" w:rsidRPr="00CE6B92">
        <w:rPr>
          <w:rFonts w:ascii="Aptos" w:eastAsia="Aptos" w:hAnsi="Aptos" w:cs="Aptos"/>
          <w:szCs w:val="28"/>
          <w:lang w:val="en-GB" w:eastAsia="zh-CN" w:bidi="th-TH"/>
        </w:rPr>
        <w:t>Vivian</w:t>
      </w:r>
      <w:r w:rsidR="001C1D71">
        <w:rPr>
          <w:rFonts w:ascii="Aptos" w:eastAsia="Aptos" w:hAnsi="Aptos" w:cs="Aptos"/>
          <w:szCs w:val="28"/>
          <w:lang w:val="en-GB" w:eastAsia="zh-CN" w:bidi="th-TH"/>
        </w:rPr>
        <w:t xml:space="preserve"> et al. 2024</w:t>
      </w:r>
      <w:r w:rsidR="00F165E0">
        <w:rPr>
          <w:rFonts w:ascii="Aptos" w:eastAsia="Aptos" w:hAnsi="Aptos" w:cs="Aptos"/>
          <w:szCs w:val="28"/>
          <w:lang w:val="en-GB" w:eastAsia="zh-CN" w:bidi="th-TH"/>
        </w:rPr>
        <w:t>)</w:t>
      </w:r>
      <w:r w:rsidRPr="00CE6B92">
        <w:rPr>
          <w:lang w:val="en-GB" w:eastAsia="zh-CN" w:bidi="th-TH"/>
        </w:rPr>
        <w:t>,</w:t>
      </w:r>
      <w:r w:rsidR="00CD32CB">
        <w:rPr>
          <w:lang w:val="en-GB" w:eastAsia="zh-CN" w:bidi="th-TH"/>
        </w:rPr>
        <w:t xml:space="preserve"> </w:t>
      </w:r>
      <w:r w:rsidRPr="00CE6B92">
        <w:rPr>
          <w:lang w:val="en-GB" w:eastAsia="zh-CN" w:bidi="th-TH"/>
        </w:rPr>
        <w:t>a recent parliamentary inquiry</w:t>
      </w:r>
      <w:r w:rsidR="00F165E0">
        <w:rPr>
          <w:lang w:val="en-GB" w:eastAsia="zh-CN" w:bidi="th-TH"/>
        </w:rPr>
        <w:t xml:space="preserve"> (</w:t>
      </w:r>
      <w:r w:rsidR="00F165E0" w:rsidRPr="00CE6B92">
        <w:rPr>
          <w:rFonts w:ascii="Aptos" w:eastAsia="Aptos" w:hAnsi="Aptos" w:cs="Aptos"/>
          <w:szCs w:val="28"/>
          <w:lang w:val="en-GB" w:eastAsia="zh-CN" w:bidi="th-TH"/>
        </w:rPr>
        <w:t>House of Representatives Standing Committee on Communications and the Arts 2021</w:t>
      </w:r>
      <w:r w:rsidR="00F165E0">
        <w:rPr>
          <w:rFonts w:ascii="Aptos" w:eastAsia="Aptos" w:hAnsi="Aptos" w:cs="Aptos"/>
          <w:szCs w:val="28"/>
          <w:lang w:val="en-GB" w:eastAsia="zh-CN" w:bidi="th-TH"/>
        </w:rPr>
        <w:t>)</w:t>
      </w:r>
      <w:r w:rsidR="00CD32CB">
        <w:rPr>
          <w:rFonts w:ascii="Aptos" w:eastAsia="Aptos" w:hAnsi="Aptos" w:cs="Aptos"/>
          <w:szCs w:val="28"/>
          <w:lang w:val="en-GB" w:eastAsia="zh-CN" w:bidi="th-TH"/>
        </w:rPr>
        <w:t xml:space="preserve"> </w:t>
      </w:r>
      <w:r w:rsidRPr="00CE6B92">
        <w:rPr>
          <w:lang w:val="en-GB" w:eastAsia="zh-CN" w:bidi="th-TH"/>
        </w:rPr>
        <w:t xml:space="preserve">and the </w:t>
      </w:r>
      <w:r w:rsidRPr="008702A4">
        <w:rPr>
          <w:rStyle w:val="Emphasis"/>
        </w:rPr>
        <w:t xml:space="preserve">Measuring What Matters </w:t>
      </w:r>
      <w:r w:rsidRPr="00CE6B92">
        <w:rPr>
          <w:lang w:val="en-GB" w:eastAsia="zh-CN" w:bidi="th-TH"/>
        </w:rPr>
        <w:t>framework</w:t>
      </w:r>
      <w:r w:rsidR="00F165E0">
        <w:rPr>
          <w:lang w:val="en-GB" w:eastAsia="zh-CN" w:bidi="th-TH"/>
        </w:rPr>
        <w:t xml:space="preserve"> (</w:t>
      </w:r>
      <w:r w:rsidR="00F165E0" w:rsidRPr="00CE6B92">
        <w:rPr>
          <w:rFonts w:ascii="Aptos" w:eastAsia="Aptos" w:hAnsi="Aptos" w:cs="Aptos"/>
          <w:szCs w:val="28"/>
          <w:lang w:val="en-GB" w:eastAsia="zh-CN" w:bidi="th-TH"/>
        </w:rPr>
        <w:t>Treasury 2023</w:t>
      </w:r>
      <w:r w:rsidR="00F165E0">
        <w:rPr>
          <w:lang w:val="en-GB" w:eastAsia="zh-CN" w:bidi="th-TH"/>
        </w:rPr>
        <w:t>)</w:t>
      </w:r>
      <w:r w:rsidR="00CD32CB">
        <w:rPr>
          <w:lang w:val="en-GB" w:eastAsia="zh-CN" w:bidi="th-TH"/>
        </w:rPr>
        <w:t xml:space="preserve"> </w:t>
      </w:r>
      <w:r w:rsidRPr="00CE6B92">
        <w:rPr>
          <w:lang w:val="en-GB" w:eastAsia="zh-CN" w:bidi="th-TH"/>
        </w:rPr>
        <w:t>recognise that the</w:t>
      </w:r>
      <w:r w:rsidRPr="00CE6B92">
        <w:rPr>
          <w:highlight w:val="white"/>
          <w:lang w:val="en-GB" w:eastAsia="zh-CN" w:bidi="th-TH"/>
        </w:rPr>
        <w:t xml:space="preserve"> </w:t>
      </w:r>
      <w:r w:rsidRPr="00CE6B92">
        <w:rPr>
          <w:lang w:val="en-GB" w:eastAsia="zh-CN" w:bidi="th-TH"/>
        </w:rPr>
        <w:t xml:space="preserve">services, programs and activities provided by cultural and community institutions can reduce feelings of isolation and loneliness. Qualitative research finds that these engagements create </w:t>
      </w:r>
      <w:r w:rsidRPr="00CE6B92">
        <w:rPr>
          <w:highlight w:val="white"/>
          <w:lang w:val="en-GB" w:eastAsia="zh-CN" w:bidi="th-TH"/>
        </w:rPr>
        <w:t>neutral, inclusive spaces and places for self</w:t>
      </w:r>
      <w:r w:rsidR="001404FB">
        <w:rPr>
          <w:highlight w:val="white"/>
          <w:lang w:val="en-GB" w:eastAsia="zh-CN" w:bidi="th-TH"/>
        </w:rPr>
        <w:noBreakHyphen/>
      </w:r>
      <w:r w:rsidRPr="00CE6B92">
        <w:rPr>
          <w:highlight w:val="white"/>
          <w:lang w:val="en-GB" w:eastAsia="zh-CN" w:bidi="th-TH"/>
        </w:rPr>
        <w:t>expression and connection</w:t>
      </w:r>
      <w:r w:rsidR="00F140F0">
        <w:rPr>
          <w:lang w:val="en-GB" w:eastAsia="zh-CN" w:bidi="th-TH"/>
        </w:rPr>
        <w:t xml:space="preserve"> (</w:t>
      </w:r>
      <w:proofErr w:type="spellStart"/>
      <w:r w:rsidR="00B4297E" w:rsidRPr="00CE6B92">
        <w:rPr>
          <w:rFonts w:ascii="Aptos" w:eastAsia="Aptos" w:hAnsi="Aptos" w:cs="Aptos"/>
          <w:szCs w:val="28"/>
          <w:lang w:val="en-GB" w:eastAsia="zh-CN" w:bidi="th-TH"/>
        </w:rPr>
        <w:t>Brownett</w:t>
      </w:r>
      <w:proofErr w:type="spellEnd"/>
      <w:r w:rsidR="00B4297E">
        <w:rPr>
          <w:rFonts w:ascii="Aptos" w:eastAsia="Aptos" w:hAnsi="Aptos" w:cs="Aptos"/>
          <w:szCs w:val="28"/>
          <w:lang w:val="en-GB" w:eastAsia="zh-CN" w:bidi="th-TH"/>
        </w:rPr>
        <w:t xml:space="preserve"> 2018; </w:t>
      </w:r>
      <w:r w:rsidR="00FF64CB" w:rsidRPr="00CE6B92">
        <w:rPr>
          <w:rFonts w:ascii="Aptos" w:eastAsia="Aptos" w:hAnsi="Aptos" w:cs="Aptos"/>
          <w:szCs w:val="28"/>
          <w:lang w:val="en-GB" w:eastAsia="zh-CN" w:bidi="th-TH"/>
        </w:rPr>
        <w:t>Perkins</w:t>
      </w:r>
      <w:r w:rsidR="00FF64CB">
        <w:rPr>
          <w:rFonts w:ascii="Aptos" w:eastAsia="Aptos" w:hAnsi="Aptos" w:cs="Aptos"/>
          <w:szCs w:val="28"/>
          <w:lang w:val="en-GB" w:eastAsia="zh-CN" w:bidi="th-TH"/>
        </w:rPr>
        <w:t xml:space="preserve"> et al. </w:t>
      </w:r>
      <w:r w:rsidR="00B01C4D">
        <w:rPr>
          <w:rFonts w:ascii="Aptos" w:eastAsia="Aptos" w:hAnsi="Aptos" w:cs="Aptos"/>
          <w:szCs w:val="28"/>
          <w:lang w:val="en-GB" w:eastAsia="zh-CN" w:bidi="th-TH"/>
        </w:rPr>
        <w:t>2021</w:t>
      </w:r>
      <w:r w:rsidR="00F140F0">
        <w:rPr>
          <w:lang w:val="en-GB" w:eastAsia="zh-CN" w:bidi="th-TH"/>
        </w:rPr>
        <w:t>).</w:t>
      </w:r>
      <w:r w:rsidR="00CD32CB">
        <w:rPr>
          <w:lang w:val="en-GB" w:eastAsia="zh-CN" w:bidi="th-TH"/>
        </w:rPr>
        <w:t xml:space="preserve"> </w:t>
      </w:r>
      <w:r w:rsidRPr="00CE6B92">
        <w:rPr>
          <w:lang w:val="en-GB" w:eastAsia="zh-CN" w:bidi="th-TH"/>
        </w:rPr>
        <w:t xml:space="preserve">Importantly, they enable </w:t>
      </w:r>
      <w:r w:rsidRPr="00CE6B92">
        <w:rPr>
          <w:highlight w:val="white"/>
          <w:lang w:val="en-GB" w:eastAsia="zh-CN" w:bidi="th-TH"/>
        </w:rPr>
        <w:t>interactions between different individuals, groups and perspectives, with research suggesting these interactions</w:t>
      </w:r>
      <w:r w:rsidRPr="00CE6B92">
        <w:rPr>
          <w:lang w:val="en-GB" w:eastAsia="zh-CN" w:bidi="th-TH"/>
        </w:rPr>
        <w:t xml:space="preserve"> can </w:t>
      </w:r>
      <w:r w:rsidRPr="00CE6B92">
        <w:rPr>
          <w:highlight w:val="white"/>
          <w:lang w:val="en-GB" w:eastAsia="zh-CN" w:bidi="th-TH"/>
        </w:rPr>
        <w:t>help overcome barriers across generations, class and ethnic backgrounds</w:t>
      </w:r>
      <w:r w:rsidR="00B01C4D">
        <w:rPr>
          <w:highlight w:val="white"/>
          <w:lang w:val="en-GB" w:eastAsia="zh-CN" w:bidi="th-TH"/>
        </w:rPr>
        <w:t xml:space="preserve"> (</w:t>
      </w:r>
      <w:r w:rsidR="00B01C4D" w:rsidRPr="00CE6B92">
        <w:rPr>
          <w:rFonts w:ascii="Aptos" w:eastAsia="Aptos" w:hAnsi="Aptos" w:cs="Aptos"/>
          <w:szCs w:val="28"/>
          <w:lang w:val="en-GB" w:eastAsia="zh-CN" w:bidi="th-TH"/>
        </w:rPr>
        <w:t>Fielding</w:t>
      </w:r>
      <w:r w:rsidR="00B01C4D">
        <w:rPr>
          <w:rFonts w:ascii="Aptos" w:eastAsia="Aptos" w:hAnsi="Aptos" w:cs="Aptos"/>
          <w:szCs w:val="28"/>
          <w:lang w:val="en-GB" w:eastAsia="zh-CN" w:bidi="th-TH"/>
        </w:rPr>
        <w:t xml:space="preserve"> et al. 2023)</w:t>
      </w:r>
      <w:r w:rsidRPr="00CE6B92">
        <w:rPr>
          <w:highlight w:val="white"/>
          <w:lang w:val="en-GB" w:eastAsia="zh-CN" w:bidi="th-TH"/>
        </w:rPr>
        <w:t>,</w:t>
      </w:r>
      <w:r w:rsidR="00CD32CB">
        <w:rPr>
          <w:lang w:val="en-GB" w:eastAsia="zh-CN" w:bidi="th-TH"/>
        </w:rPr>
        <w:t xml:space="preserve"> </w:t>
      </w:r>
      <w:r w:rsidRPr="00CE6B92">
        <w:rPr>
          <w:lang w:val="en-GB" w:eastAsia="zh-CN" w:bidi="th-TH"/>
        </w:rPr>
        <w:t>and encourage bridging ties founded on inclusivity</w:t>
      </w:r>
      <w:r w:rsidR="00F140F0">
        <w:rPr>
          <w:highlight w:val="white"/>
          <w:lang w:val="en-GB" w:eastAsia="zh-CN" w:bidi="th-TH"/>
        </w:rPr>
        <w:t xml:space="preserve"> (</w:t>
      </w:r>
      <w:r w:rsidR="00B01C4D" w:rsidRPr="00CE6B92">
        <w:rPr>
          <w:rFonts w:ascii="Aptos" w:eastAsia="Aptos" w:hAnsi="Aptos" w:cs="Aptos"/>
          <w:szCs w:val="28"/>
          <w:lang w:val="en-GB" w:eastAsia="zh-CN" w:bidi="th-TH"/>
        </w:rPr>
        <w:t>Barrett and Zani</w:t>
      </w:r>
      <w:r w:rsidR="00B01C4D">
        <w:rPr>
          <w:rFonts w:ascii="Aptos" w:eastAsia="Aptos" w:hAnsi="Aptos" w:cs="Aptos"/>
          <w:szCs w:val="28"/>
          <w:lang w:val="en-GB" w:eastAsia="zh-CN" w:bidi="th-TH"/>
        </w:rPr>
        <w:t xml:space="preserve"> 2014; </w:t>
      </w:r>
      <w:r w:rsidR="00B01C4D" w:rsidRPr="00CE6B92">
        <w:rPr>
          <w:rFonts w:ascii="Aptos" w:eastAsia="Aptos" w:hAnsi="Aptos" w:cs="Aptos"/>
          <w:szCs w:val="28"/>
          <w:lang w:val="en-GB" w:eastAsia="zh-CN" w:bidi="th-TH"/>
        </w:rPr>
        <w:t>Ercan</w:t>
      </w:r>
      <w:r w:rsidR="00B01C4D">
        <w:rPr>
          <w:rFonts w:ascii="Aptos" w:eastAsia="Aptos" w:hAnsi="Aptos" w:cs="Aptos"/>
          <w:szCs w:val="28"/>
          <w:lang w:val="en-GB" w:eastAsia="zh-CN" w:bidi="th-TH"/>
        </w:rPr>
        <w:t xml:space="preserve"> et al. </w:t>
      </w:r>
      <w:r w:rsidR="00632E50">
        <w:rPr>
          <w:rFonts w:ascii="Aptos" w:eastAsia="Aptos" w:hAnsi="Aptos" w:cs="Aptos"/>
          <w:szCs w:val="28"/>
          <w:lang w:val="en-GB" w:eastAsia="zh-CN" w:bidi="th-TH"/>
        </w:rPr>
        <w:t>2022</w:t>
      </w:r>
      <w:r w:rsidR="00F140F0">
        <w:rPr>
          <w:highlight w:val="white"/>
          <w:lang w:val="en-GB" w:eastAsia="zh-CN" w:bidi="th-TH"/>
        </w:rPr>
        <w:t>).</w:t>
      </w:r>
    </w:p>
    <w:p w14:paraId="692BF531" w14:textId="77777777" w:rsidR="00CD32CB" w:rsidRDefault="00CE6B92" w:rsidP="001B7F4E">
      <w:pPr>
        <w:rPr>
          <w:lang w:val="en-GB" w:eastAsia="zh-CN" w:bidi="th-TH"/>
        </w:rPr>
      </w:pPr>
      <w:r w:rsidRPr="00CE6B92">
        <w:rPr>
          <w:lang w:val="en-GB" w:eastAsia="zh-CN" w:bidi="th-TH"/>
        </w:rPr>
        <w:t>There is evidence for the positive role of social networks and infrastructure in individual and community survival, resilience and recovery during health and environmental emergencies. Studies f</w:t>
      </w:r>
      <w:r w:rsidRPr="00CE6B92">
        <w:rPr>
          <w:highlight w:val="white"/>
          <w:lang w:val="en-GB" w:eastAsia="zh-CN" w:bidi="th-TH"/>
        </w:rPr>
        <w:t xml:space="preserve">ind that those with more diverse social networks (and therefore more trusted connections) are more likely to respond to official sources of information </w:t>
      </w:r>
      <w:r w:rsidRPr="00CE6B92">
        <w:rPr>
          <w:highlight w:val="white"/>
          <w:lang w:val="en-GB" w:eastAsia="zh-CN" w:bidi="th-TH"/>
        </w:rPr>
        <w:lastRenderedPageBreak/>
        <w:t xml:space="preserve">and ignore false and misleading information during periods of crisis. </w:t>
      </w:r>
      <w:r w:rsidRPr="00CE6B92">
        <w:rPr>
          <w:lang w:val="en-GB" w:eastAsia="zh-CN" w:bidi="th-TH"/>
        </w:rPr>
        <w:t xml:space="preserve">Specifically, when information was received from trusted social networks </w:t>
      </w:r>
      <w:r w:rsidRPr="008702A4">
        <w:rPr>
          <w:rStyle w:val="Emphasis"/>
        </w:rPr>
        <w:t>and</w:t>
      </w:r>
      <w:r w:rsidRPr="00CE6B92">
        <w:rPr>
          <w:lang w:val="en-GB" w:eastAsia="zh-CN" w:bidi="th-TH"/>
        </w:rPr>
        <w:t xml:space="preserve"> official sources, it reinforced messaging and helped individuals better understand and act on advice. However, in communities characterised as having low levels of institutional and in</w:t>
      </w:r>
      <w:r w:rsidR="001404FB">
        <w:rPr>
          <w:lang w:val="en-GB" w:eastAsia="zh-CN" w:bidi="th-TH"/>
        </w:rPr>
        <w:noBreakHyphen/>
      </w:r>
      <w:r w:rsidRPr="00CE6B92">
        <w:rPr>
          <w:lang w:val="en-GB" w:eastAsia="zh-CN" w:bidi="th-TH"/>
        </w:rPr>
        <w:t xml:space="preserve"> and intergroup trust, advice was less likely to be shared and, therefore, acted on</w:t>
      </w:r>
      <w:r w:rsidR="00F140F0">
        <w:rPr>
          <w:lang w:val="en-GB" w:eastAsia="zh-CN" w:bidi="th-TH"/>
        </w:rPr>
        <w:t xml:space="preserve"> (</w:t>
      </w:r>
      <w:r w:rsidR="00632E50" w:rsidRPr="00CE6B92">
        <w:rPr>
          <w:rFonts w:ascii="Aptos" w:eastAsia="Aptos" w:hAnsi="Aptos" w:cs="Aptos"/>
          <w:szCs w:val="28"/>
          <w:lang w:val="en-GB" w:eastAsia="zh-CN" w:bidi="th-TH"/>
        </w:rPr>
        <w:t>Aldrich</w:t>
      </w:r>
      <w:r w:rsidR="00632E50">
        <w:rPr>
          <w:rFonts w:ascii="Aptos" w:eastAsia="Aptos" w:hAnsi="Aptos" w:cs="Aptos"/>
          <w:szCs w:val="28"/>
          <w:lang w:val="en-GB" w:eastAsia="zh-CN" w:bidi="th-TH"/>
        </w:rPr>
        <w:t xml:space="preserve"> 2012</w:t>
      </w:r>
      <w:r w:rsidR="002A1C07">
        <w:rPr>
          <w:rFonts w:ascii="Aptos" w:eastAsia="Aptos" w:hAnsi="Aptos" w:cs="Aptos"/>
          <w:szCs w:val="28"/>
          <w:lang w:val="en-GB" w:eastAsia="zh-CN" w:bidi="th-TH"/>
        </w:rPr>
        <w:t>,</w:t>
      </w:r>
      <w:r w:rsidR="00DB4AF3">
        <w:rPr>
          <w:rFonts w:ascii="Aptos" w:eastAsia="Aptos" w:hAnsi="Aptos" w:cs="Aptos"/>
          <w:szCs w:val="28"/>
          <w:lang w:val="en-GB" w:eastAsia="zh-CN" w:bidi="th-TH"/>
        </w:rPr>
        <w:t xml:space="preserve"> </w:t>
      </w:r>
      <w:r w:rsidR="00DB4AF3" w:rsidRPr="00CE6B92">
        <w:rPr>
          <w:rFonts w:ascii="Aptos" w:eastAsia="Aptos" w:hAnsi="Aptos" w:cs="Aptos"/>
          <w:szCs w:val="28"/>
          <w:lang w:val="en-GB" w:eastAsia="zh-CN" w:bidi="th-TH"/>
        </w:rPr>
        <w:t>2023</w:t>
      </w:r>
      <w:r w:rsidR="00DB4AF3">
        <w:rPr>
          <w:rFonts w:ascii="Aptos" w:eastAsia="Aptos" w:hAnsi="Aptos" w:cs="Aptos"/>
          <w:szCs w:val="28"/>
          <w:lang w:val="en-GB" w:eastAsia="zh-CN" w:bidi="th-TH"/>
        </w:rPr>
        <w:t xml:space="preserve">b; </w:t>
      </w:r>
      <w:r w:rsidR="00FD635E" w:rsidRPr="00CE6B92">
        <w:rPr>
          <w:rFonts w:ascii="Aptos" w:eastAsia="Aptos" w:hAnsi="Aptos" w:cs="Aptos"/>
          <w:szCs w:val="28"/>
          <w:lang w:val="en-GB" w:eastAsia="zh-CN" w:bidi="th-TH"/>
        </w:rPr>
        <w:t>Fraser and Aldrich 2021</w:t>
      </w:r>
      <w:r w:rsidR="00F140F0">
        <w:rPr>
          <w:lang w:val="en-GB" w:eastAsia="zh-CN" w:bidi="th-TH"/>
        </w:rPr>
        <w:t>).</w:t>
      </w:r>
      <w:r w:rsidR="00CD32CB">
        <w:rPr>
          <w:lang w:val="en-GB" w:eastAsia="zh-CN" w:bidi="th-TH"/>
        </w:rPr>
        <w:t xml:space="preserve"> </w:t>
      </w:r>
      <w:r w:rsidRPr="00CE6B92">
        <w:rPr>
          <w:lang w:val="en-GB" w:eastAsia="zh-CN" w:bidi="th-TH"/>
        </w:rPr>
        <w:t>Another study surveying Japanese residents following the 2011 Tohoku earthquake and tsunami found that individuals who engaged with community</w:t>
      </w:r>
      <w:r w:rsidR="001404FB">
        <w:rPr>
          <w:lang w:val="en-GB" w:eastAsia="zh-CN" w:bidi="th-TH"/>
        </w:rPr>
        <w:noBreakHyphen/>
      </w:r>
      <w:r w:rsidRPr="00CE6B92">
        <w:rPr>
          <w:lang w:val="en-GB" w:eastAsia="zh-CN" w:bidi="th-TH"/>
        </w:rPr>
        <w:t>led disaster recovery – in</w:t>
      </w:r>
      <w:r w:rsidR="00EA5229">
        <w:rPr>
          <w:lang w:val="en-GB" w:eastAsia="zh-CN" w:bidi="th-TH"/>
        </w:rPr>
        <w:t> </w:t>
      </w:r>
      <w:r w:rsidRPr="00CE6B92">
        <w:rPr>
          <w:lang w:val="en-GB" w:eastAsia="zh-CN" w:bidi="th-TH"/>
        </w:rPr>
        <w:t>the form of a community cafe where residents connected to share information – self</w:t>
      </w:r>
      <w:r w:rsidR="001404FB">
        <w:rPr>
          <w:lang w:val="en-GB" w:eastAsia="zh-CN" w:bidi="th-TH"/>
        </w:rPr>
        <w:noBreakHyphen/>
      </w:r>
      <w:r w:rsidRPr="00CE6B92">
        <w:rPr>
          <w:lang w:val="en-GB" w:eastAsia="zh-CN" w:bidi="th-TH"/>
        </w:rPr>
        <w:t>reported higher levels of neighbourhood recovery than a control group who did not participate</w:t>
      </w:r>
      <w:r w:rsidR="00F140F0">
        <w:rPr>
          <w:lang w:val="en-GB" w:eastAsia="zh-CN" w:bidi="th-TH"/>
        </w:rPr>
        <w:t xml:space="preserve"> (</w:t>
      </w:r>
      <w:r w:rsidR="00632E50" w:rsidRPr="00CE6B92">
        <w:rPr>
          <w:rFonts w:ascii="Aptos" w:eastAsia="Aptos" w:hAnsi="Aptos" w:cs="Aptos"/>
          <w:szCs w:val="28"/>
          <w:lang w:val="en-GB" w:eastAsia="zh-CN" w:bidi="th-TH"/>
        </w:rPr>
        <w:t>Aldrich</w:t>
      </w:r>
      <w:r w:rsidR="00632E50">
        <w:rPr>
          <w:rFonts w:ascii="Aptos" w:eastAsia="Aptos" w:hAnsi="Aptos" w:cs="Aptos"/>
          <w:szCs w:val="28"/>
          <w:lang w:val="en-GB" w:eastAsia="zh-CN" w:bidi="th-TH"/>
        </w:rPr>
        <w:t xml:space="preserve"> </w:t>
      </w:r>
      <w:r w:rsidR="00632E50" w:rsidRPr="00CE6B92">
        <w:rPr>
          <w:rFonts w:ascii="Aptos" w:eastAsia="Aptos" w:hAnsi="Aptos" w:cs="Aptos"/>
          <w:szCs w:val="28"/>
          <w:lang w:val="en-GB" w:eastAsia="zh-CN" w:bidi="th-TH"/>
        </w:rPr>
        <w:t>2023</w:t>
      </w:r>
      <w:r w:rsidR="00632E50">
        <w:rPr>
          <w:rFonts w:ascii="Aptos" w:eastAsia="Aptos" w:hAnsi="Aptos" w:cs="Aptos"/>
          <w:szCs w:val="28"/>
          <w:lang w:val="en-GB" w:eastAsia="zh-CN" w:bidi="th-TH"/>
        </w:rPr>
        <w:t>b</w:t>
      </w:r>
      <w:r w:rsidR="00DB4AF3">
        <w:rPr>
          <w:rFonts w:ascii="Aptos" w:eastAsia="Aptos" w:hAnsi="Aptos" w:cs="Aptos"/>
          <w:szCs w:val="28"/>
          <w:lang w:val="en-GB" w:eastAsia="zh-CN" w:bidi="th-TH"/>
        </w:rPr>
        <w:t xml:space="preserve">; </w:t>
      </w:r>
      <w:r w:rsidR="00FD635E" w:rsidRPr="00CE6B92">
        <w:rPr>
          <w:rFonts w:ascii="Aptos" w:eastAsia="Aptos" w:hAnsi="Aptos" w:cs="Aptos"/>
          <w:szCs w:val="28"/>
          <w:lang w:val="en-GB" w:eastAsia="zh-CN" w:bidi="th-TH"/>
        </w:rPr>
        <w:t>Lee</w:t>
      </w:r>
      <w:r w:rsidR="00FD635E">
        <w:rPr>
          <w:rFonts w:ascii="Aptos" w:eastAsia="Aptos" w:hAnsi="Aptos" w:cs="Aptos"/>
          <w:szCs w:val="28"/>
          <w:lang w:val="en-GB" w:eastAsia="zh-CN" w:bidi="th-TH"/>
        </w:rPr>
        <w:t xml:space="preserve"> et al. 2022</w:t>
      </w:r>
      <w:r w:rsidR="00F140F0">
        <w:rPr>
          <w:lang w:val="en-GB" w:eastAsia="zh-CN" w:bidi="th-TH"/>
        </w:rPr>
        <w:t>).</w:t>
      </w:r>
      <w:r w:rsidR="00CD32CB">
        <w:rPr>
          <w:lang w:val="en-GB" w:eastAsia="zh-CN" w:bidi="th-TH"/>
        </w:rPr>
        <w:t xml:space="preserve"> </w:t>
      </w:r>
      <w:r w:rsidRPr="00CE6B92">
        <w:rPr>
          <w:lang w:val="en-GB" w:eastAsia="zh-CN" w:bidi="th-TH"/>
        </w:rPr>
        <w:t>It may be that the community</w:t>
      </w:r>
      <w:r w:rsidR="001404FB">
        <w:rPr>
          <w:lang w:val="en-GB" w:eastAsia="zh-CN" w:bidi="th-TH"/>
        </w:rPr>
        <w:noBreakHyphen/>
      </w:r>
      <w:r w:rsidRPr="00CE6B92">
        <w:rPr>
          <w:lang w:val="en-GB" w:eastAsia="zh-CN" w:bidi="th-TH"/>
        </w:rPr>
        <w:t>led nature of these and other similar initiatives lends itself to a sense of empowerment and collective responsibility, which encourages engagement and draws individuals out of isolation</w:t>
      </w:r>
      <w:r w:rsidR="00F140F0">
        <w:rPr>
          <w:lang w:val="en-GB" w:eastAsia="zh-CN" w:bidi="th-TH"/>
        </w:rPr>
        <w:t xml:space="preserve"> (</w:t>
      </w:r>
      <w:r w:rsidR="00DB4AF3" w:rsidRPr="00CE6B92">
        <w:rPr>
          <w:rFonts w:ascii="Aptos" w:eastAsia="Aptos" w:hAnsi="Aptos" w:cs="Aptos"/>
          <w:szCs w:val="28"/>
          <w:lang w:val="en-GB" w:eastAsia="zh-CN" w:bidi="th-TH"/>
        </w:rPr>
        <w:t>Aldrich</w:t>
      </w:r>
      <w:r w:rsidR="00DB4AF3">
        <w:rPr>
          <w:rFonts w:ascii="Aptos" w:eastAsia="Aptos" w:hAnsi="Aptos" w:cs="Aptos"/>
          <w:szCs w:val="28"/>
          <w:lang w:val="en-GB" w:eastAsia="zh-CN" w:bidi="th-TH"/>
        </w:rPr>
        <w:t xml:space="preserve"> </w:t>
      </w:r>
      <w:r w:rsidR="00DB4AF3" w:rsidRPr="00CE6B92">
        <w:rPr>
          <w:rFonts w:ascii="Aptos" w:eastAsia="Aptos" w:hAnsi="Aptos" w:cs="Aptos"/>
          <w:szCs w:val="28"/>
          <w:lang w:val="en-GB" w:eastAsia="zh-CN" w:bidi="th-TH"/>
        </w:rPr>
        <w:t>2023</w:t>
      </w:r>
      <w:r w:rsidR="00DB4AF3">
        <w:rPr>
          <w:rFonts w:ascii="Aptos" w:eastAsia="Aptos" w:hAnsi="Aptos" w:cs="Aptos"/>
          <w:szCs w:val="28"/>
          <w:lang w:val="en-GB" w:eastAsia="zh-CN" w:bidi="th-TH"/>
        </w:rPr>
        <w:t xml:space="preserve">b; </w:t>
      </w:r>
      <w:r w:rsidR="00DB4AF3" w:rsidRPr="00CE6B92">
        <w:rPr>
          <w:rFonts w:ascii="Aptos" w:eastAsia="Aptos" w:hAnsi="Aptos" w:cs="Aptos"/>
          <w:szCs w:val="28"/>
          <w:lang w:val="en-GB" w:eastAsia="zh-CN" w:bidi="th-TH"/>
        </w:rPr>
        <w:t>Aldrich and Meyer 2015</w:t>
      </w:r>
      <w:r w:rsidR="00DB4AF3">
        <w:rPr>
          <w:rFonts w:ascii="Aptos" w:eastAsia="Aptos" w:hAnsi="Aptos" w:cs="Aptos"/>
          <w:szCs w:val="28"/>
          <w:lang w:val="en-GB" w:eastAsia="zh-CN" w:bidi="th-TH"/>
        </w:rPr>
        <w:t xml:space="preserve">; </w:t>
      </w:r>
      <w:r w:rsidR="00FD635E" w:rsidRPr="00CE6B92">
        <w:rPr>
          <w:rFonts w:ascii="Aptos" w:eastAsia="Aptos" w:hAnsi="Aptos" w:cs="Aptos"/>
          <w:szCs w:val="28"/>
          <w:lang w:val="en-GB" w:eastAsia="zh-CN" w:bidi="th-TH"/>
        </w:rPr>
        <w:t>Lee</w:t>
      </w:r>
      <w:r w:rsidR="00FD635E">
        <w:rPr>
          <w:rFonts w:ascii="Aptos" w:eastAsia="Aptos" w:hAnsi="Aptos" w:cs="Aptos"/>
          <w:szCs w:val="28"/>
          <w:lang w:val="en-GB" w:eastAsia="zh-CN" w:bidi="th-TH"/>
        </w:rPr>
        <w:t xml:space="preserve"> et al. 2022; </w:t>
      </w:r>
      <w:proofErr w:type="spellStart"/>
      <w:r w:rsidR="00246AEF" w:rsidRPr="00CE6B92">
        <w:rPr>
          <w:rFonts w:ascii="Aptos" w:eastAsia="Aptos" w:hAnsi="Aptos" w:cs="Aptos"/>
          <w:szCs w:val="28"/>
          <w:lang w:val="en-GB" w:eastAsia="zh-CN" w:bidi="th-TH"/>
        </w:rPr>
        <w:t>Pronyk</w:t>
      </w:r>
      <w:proofErr w:type="spellEnd"/>
      <w:r w:rsidR="00246AEF">
        <w:rPr>
          <w:rFonts w:ascii="Aptos" w:eastAsia="Aptos" w:hAnsi="Aptos" w:cs="Aptos"/>
          <w:szCs w:val="28"/>
          <w:lang w:val="en-GB" w:eastAsia="zh-CN" w:bidi="th-TH"/>
        </w:rPr>
        <w:t xml:space="preserve"> et al. 2008; </w:t>
      </w:r>
      <w:proofErr w:type="spellStart"/>
      <w:r w:rsidR="00246AEF" w:rsidRPr="00CE6B92">
        <w:rPr>
          <w:rFonts w:ascii="Aptos" w:eastAsia="Aptos" w:hAnsi="Aptos" w:cs="Aptos"/>
          <w:szCs w:val="28"/>
          <w:lang w:val="en-GB" w:eastAsia="zh-CN" w:bidi="th-TH"/>
        </w:rPr>
        <w:t>Pronyk</w:t>
      </w:r>
      <w:proofErr w:type="spellEnd"/>
      <w:r w:rsidR="00246AEF">
        <w:rPr>
          <w:rFonts w:ascii="Aptos" w:eastAsia="Aptos" w:hAnsi="Aptos" w:cs="Aptos"/>
          <w:szCs w:val="28"/>
          <w:lang w:val="en-GB" w:eastAsia="zh-CN" w:bidi="th-TH"/>
        </w:rPr>
        <w:t xml:space="preserve"> et al. 2006</w:t>
      </w:r>
      <w:r w:rsidR="00F140F0">
        <w:rPr>
          <w:lang w:val="en-GB" w:eastAsia="zh-CN" w:bidi="th-TH"/>
        </w:rPr>
        <w:t>).</w:t>
      </w:r>
    </w:p>
    <w:p w14:paraId="2E8073ED" w14:textId="041CEA87" w:rsidR="00CE6B92" w:rsidRPr="008702A4" w:rsidRDefault="00CE6B92" w:rsidP="001B7F4E">
      <w:pPr>
        <w:rPr>
          <w:spacing w:val="-1"/>
          <w:highlight w:val="white"/>
          <w:lang w:val="en-GB" w:eastAsia="zh-CN" w:bidi="th-TH"/>
        </w:rPr>
      </w:pPr>
      <w:r w:rsidRPr="008702A4">
        <w:rPr>
          <w:spacing w:val="-1"/>
          <w:highlight w:val="white"/>
          <w:lang w:val="en-GB" w:eastAsia="zh-CN" w:bidi="th-TH"/>
        </w:rPr>
        <w:t xml:space="preserve">Public libraries provide diverse services and community outreach programs and are prominent in the social infrastructure literature. A 2023 survey of New York Public Library patrons found that libraries provide a foundation for, and foster the core elements of, wellbeing, stability and safety, while also providing </w:t>
      </w:r>
      <w:r w:rsidR="005626AD" w:rsidRPr="008702A4">
        <w:rPr>
          <w:spacing w:val="-1"/>
          <w:highlight w:val="white"/>
          <w:lang w:val="en-GB" w:eastAsia="zh-CN" w:bidi="th-TH"/>
        </w:rPr>
        <w:t>‘</w:t>
      </w:r>
      <w:r w:rsidRPr="008702A4">
        <w:rPr>
          <w:spacing w:val="-1"/>
          <w:highlight w:val="white"/>
          <w:lang w:val="en-GB" w:eastAsia="zh-CN" w:bidi="th-TH"/>
        </w:rPr>
        <w:t>information, inspiration, and connection for staying resilient in adversity and for … creating more fulfilling lives and thriving communities</w:t>
      </w:r>
      <w:r w:rsidR="005626AD" w:rsidRPr="008702A4">
        <w:rPr>
          <w:spacing w:val="-1"/>
          <w:highlight w:val="white"/>
          <w:lang w:val="en-GB" w:eastAsia="zh-CN" w:bidi="th-TH"/>
        </w:rPr>
        <w:t>’</w:t>
      </w:r>
      <w:r w:rsidR="00F140F0" w:rsidRPr="008702A4">
        <w:rPr>
          <w:spacing w:val="-1"/>
          <w:highlight w:val="white"/>
          <w:lang w:val="en-GB" w:eastAsia="zh-CN" w:bidi="th-TH"/>
        </w:rPr>
        <w:t xml:space="preserve"> (</w:t>
      </w:r>
      <w:r w:rsidR="00246AEF" w:rsidRPr="008702A4">
        <w:rPr>
          <w:rFonts w:eastAsia="Aptos" w:cs="Aptos"/>
          <w:spacing w:val="-1"/>
          <w:szCs w:val="28"/>
          <w:lang w:val="en-GB" w:eastAsia="zh-CN" w:bidi="th-TH"/>
        </w:rPr>
        <w:t>Blatt et al. 2024</w:t>
      </w:r>
      <w:r w:rsidR="00F140F0" w:rsidRPr="008702A4">
        <w:rPr>
          <w:spacing w:val="-1"/>
          <w:highlight w:val="white"/>
          <w:lang w:val="en-GB" w:eastAsia="zh-CN" w:bidi="th-TH"/>
        </w:rPr>
        <w:t>).</w:t>
      </w:r>
      <w:r w:rsidR="00CD32CB" w:rsidRPr="008702A4">
        <w:rPr>
          <w:spacing w:val="-1"/>
          <w:highlight w:val="white"/>
          <w:lang w:val="en-GB" w:eastAsia="zh-CN" w:bidi="th-TH"/>
        </w:rPr>
        <w:t xml:space="preserve"> </w:t>
      </w:r>
      <w:r w:rsidRPr="008702A4">
        <w:rPr>
          <w:spacing w:val="-1"/>
          <w:highlight w:val="white"/>
          <w:lang w:val="en-GB" w:eastAsia="zh-CN" w:bidi="th-TH"/>
        </w:rPr>
        <w:t>These findings mirror the leading role that Australia’s public libraries play in fostering community resilience. For</w:t>
      </w:r>
      <w:r w:rsidR="008702A4" w:rsidRPr="008702A4">
        <w:rPr>
          <w:spacing w:val="-1"/>
          <w:highlight w:val="white"/>
          <w:lang w:val="en-GB" w:eastAsia="zh-CN" w:bidi="th-TH"/>
        </w:rPr>
        <w:t> </w:t>
      </w:r>
      <w:r w:rsidRPr="008702A4">
        <w:rPr>
          <w:spacing w:val="-1"/>
          <w:highlight w:val="white"/>
          <w:lang w:val="en-GB" w:eastAsia="zh-CN" w:bidi="th-TH"/>
        </w:rPr>
        <w:t>example, Mossman Library, QLD, was used as an evacuation centre following Cyclone Jasper in</w:t>
      </w:r>
      <w:r w:rsidR="00EA5229" w:rsidRPr="008702A4">
        <w:rPr>
          <w:spacing w:val="-1"/>
          <w:highlight w:val="white"/>
          <w:lang w:val="en-GB" w:eastAsia="zh-CN" w:bidi="th-TH"/>
        </w:rPr>
        <w:t> </w:t>
      </w:r>
      <w:r w:rsidRPr="008702A4">
        <w:rPr>
          <w:spacing w:val="-1"/>
          <w:highlight w:val="white"/>
          <w:lang w:val="en-GB" w:eastAsia="zh-CN" w:bidi="th-TH"/>
        </w:rPr>
        <w:t>2023. Public</w:t>
      </w:r>
      <w:r w:rsidR="008702A4">
        <w:rPr>
          <w:spacing w:val="-1"/>
          <w:highlight w:val="white"/>
          <w:lang w:val="en-GB" w:eastAsia="zh-CN" w:bidi="th-TH"/>
        </w:rPr>
        <w:t> </w:t>
      </w:r>
      <w:r w:rsidRPr="008702A4">
        <w:rPr>
          <w:spacing w:val="-1"/>
          <w:highlight w:val="white"/>
          <w:lang w:val="en-GB" w:eastAsia="zh-CN" w:bidi="th-TH"/>
        </w:rPr>
        <w:t>libraries also provide critical social support to marginalised and disadvantaged people. For example, Fremantle Library, WA offers the Library Connect Service, providing advice and referrals for people facing homelessness or fleeing domestic violence</w:t>
      </w:r>
      <w:r w:rsidR="00F140F0" w:rsidRPr="008702A4">
        <w:rPr>
          <w:spacing w:val="-1"/>
          <w:highlight w:val="white"/>
          <w:lang w:val="en-GB" w:eastAsia="zh-CN" w:bidi="th-TH"/>
        </w:rPr>
        <w:t xml:space="preserve"> (</w:t>
      </w:r>
      <w:r w:rsidR="00F23637" w:rsidRPr="008702A4">
        <w:rPr>
          <w:rFonts w:eastAsia="Aptos" w:cs="Aptos"/>
          <w:spacing w:val="-1"/>
          <w:szCs w:val="28"/>
          <w:lang w:val="en-GB" w:eastAsia="zh-CN" w:bidi="th-TH"/>
        </w:rPr>
        <w:t>ALIA</w:t>
      </w:r>
      <w:r w:rsidR="008702A4">
        <w:rPr>
          <w:rFonts w:eastAsia="Aptos" w:cs="Aptos"/>
          <w:spacing w:val="-1"/>
          <w:szCs w:val="28"/>
          <w:lang w:val="en-GB" w:eastAsia="zh-CN" w:bidi="th-TH"/>
        </w:rPr>
        <w:t> </w:t>
      </w:r>
      <w:r w:rsidR="00246AEF" w:rsidRPr="008702A4">
        <w:rPr>
          <w:rFonts w:eastAsia="Aptos" w:cs="Aptos"/>
          <w:spacing w:val="-1"/>
          <w:szCs w:val="28"/>
          <w:lang w:val="en-GB" w:eastAsia="zh-CN" w:bidi="th-TH"/>
        </w:rPr>
        <w:t>2024</w:t>
      </w:r>
      <w:r w:rsidR="00F140F0" w:rsidRPr="008702A4">
        <w:rPr>
          <w:spacing w:val="-1"/>
          <w:highlight w:val="white"/>
          <w:lang w:val="en-GB" w:eastAsia="zh-CN" w:bidi="th-TH"/>
        </w:rPr>
        <w:t>).</w:t>
      </w:r>
    </w:p>
    <w:p w14:paraId="12DB00D5" w14:textId="77777777" w:rsidR="004E1CF3" w:rsidRPr="00057DF3" w:rsidRDefault="004E1CF3" w:rsidP="00057DF3">
      <w:bookmarkStart w:id="37" w:name="_s6gg3hsz9lhp"/>
      <w:bookmarkEnd w:id="37"/>
      <w:r>
        <w:rPr>
          <w:lang w:val="en-GB" w:eastAsia="zh-CN" w:bidi="th-TH"/>
        </w:rPr>
        <w:br w:type="page"/>
      </w:r>
    </w:p>
    <w:p w14:paraId="10EC2431" w14:textId="255FC79D" w:rsidR="00CE6B92" w:rsidRPr="00CE6B92" w:rsidRDefault="00CE6B92" w:rsidP="00057DF3">
      <w:pPr>
        <w:pStyle w:val="Heading2Numbered"/>
        <w:rPr>
          <w:lang w:val="en-GB" w:eastAsia="zh-CN" w:bidi="th-TH"/>
        </w:rPr>
      </w:pPr>
      <w:bookmarkStart w:id="38" w:name="_Toc218517319"/>
      <w:r w:rsidRPr="00CE6B92">
        <w:rPr>
          <w:lang w:val="en-GB" w:eastAsia="zh-CN" w:bidi="th-TH"/>
        </w:rPr>
        <w:lastRenderedPageBreak/>
        <w:t>How cultural and community structures and institutions build information</w:t>
      </w:r>
      <w:r w:rsidR="00812E58">
        <w:rPr>
          <w:lang w:val="en-GB" w:eastAsia="zh-CN" w:bidi="th-TH"/>
        </w:rPr>
        <w:t> </w:t>
      </w:r>
      <w:r w:rsidRPr="00CE6B92">
        <w:rPr>
          <w:lang w:val="en-GB" w:eastAsia="zh-CN" w:bidi="th-TH"/>
        </w:rPr>
        <w:t>resilience</w:t>
      </w:r>
      <w:bookmarkEnd w:id="38"/>
    </w:p>
    <w:p w14:paraId="4E351E27" w14:textId="64368AFD" w:rsidR="00CE6B92" w:rsidRPr="00CE6B92" w:rsidRDefault="00CE6B92" w:rsidP="00057DF3">
      <w:pPr>
        <w:pStyle w:val="Heading3Numbered"/>
        <w:rPr>
          <w:highlight w:val="white"/>
          <w:lang w:val="en-GB" w:eastAsia="zh-CN" w:bidi="th-TH"/>
        </w:rPr>
      </w:pPr>
      <w:bookmarkStart w:id="39" w:name="_Toc218517320"/>
      <w:r w:rsidRPr="00CE6B92">
        <w:rPr>
          <w:highlight w:val="white"/>
          <w:lang w:val="en-GB" w:eastAsia="zh-CN" w:bidi="th-TH"/>
        </w:rPr>
        <w:t>Participatory practices and the wellbeing of the public</w:t>
      </w:r>
      <w:r w:rsidR="001404FB">
        <w:rPr>
          <w:highlight w:val="white"/>
          <w:lang w:val="en-GB" w:eastAsia="zh-CN" w:bidi="th-TH"/>
        </w:rPr>
        <w:t> </w:t>
      </w:r>
      <w:r w:rsidRPr="00CE6B92">
        <w:rPr>
          <w:highlight w:val="white"/>
          <w:lang w:val="en-GB" w:eastAsia="zh-CN" w:bidi="th-TH"/>
        </w:rPr>
        <w:t>sphere</w:t>
      </w:r>
      <w:bookmarkEnd w:id="39"/>
      <w:r w:rsidRPr="00CE6B92">
        <w:rPr>
          <w:highlight w:val="white"/>
          <w:lang w:val="en-GB" w:eastAsia="zh-CN" w:bidi="th-TH"/>
        </w:rPr>
        <w:t xml:space="preserve"> </w:t>
      </w:r>
    </w:p>
    <w:p w14:paraId="66D29A67" w14:textId="286DA028" w:rsidR="00CE6B92" w:rsidRPr="00057DF3" w:rsidRDefault="00CE6B92" w:rsidP="001404FB">
      <w:pPr>
        <w:rPr>
          <w:highlight w:val="white"/>
        </w:rPr>
      </w:pPr>
      <w:r w:rsidRPr="00057DF3">
        <w:rPr>
          <w:highlight w:val="white"/>
        </w:rPr>
        <w:t xml:space="preserve">Research findings consistently emphasise the importance of participation in civic life for building resilient, cohesive societies. </w:t>
      </w:r>
      <w:r w:rsidRPr="00057DF3">
        <w:t>The outreach and educational activities and programs led by cultural and community institutions can enhance the competencies needed for meaningful participation. I</w:t>
      </w:r>
      <w:r w:rsidRPr="00057DF3">
        <w:rPr>
          <w:highlight w:val="white"/>
        </w:rPr>
        <w:t>nnovations in participatory practices, including consensus</w:t>
      </w:r>
      <w:r w:rsidR="001404FB">
        <w:rPr>
          <w:highlight w:val="white"/>
        </w:rPr>
        <w:noBreakHyphen/>
      </w:r>
      <w:r w:rsidRPr="00057DF3">
        <w:rPr>
          <w:highlight w:val="white"/>
        </w:rPr>
        <w:t>based decision making and crowdsourcing contributions to collection and information management, may be leveraged to strengthen the wellbeing of the public</w:t>
      </w:r>
      <w:r w:rsidR="00FB01F0">
        <w:rPr>
          <w:highlight w:val="white"/>
        </w:rPr>
        <w:t> </w:t>
      </w:r>
      <w:r w:rsidRPr="00057DF3">
        <w:rPr>
          <w:highlight w:val="white"/>
        </w:rPr>
        <w:t xml:space="preserve">sphere. </w:t>
      </w:r>
    </w:p>
    <w:p w14:paraId="7BDA9F93" w14:textId="77777777" w:rsidR="00CD32CB" w:rsidRDefault="00CE6B92" w:rsidP="001B7F4E">
      <w:pPr>
        <w:rPr>
          <w:highlight w:val="white"/>
          <w:lang w:val="en-GB" w:eastAsia="zh-CN" w:bidi="th-TH"/>
        </w:rPr>
      </w:pPr>
      <w:r w:rsidRPr="00CE6B92">
        <w:rPr>
          <w:lang w:val="en-GB" w:eastAsia="zh-CN" w:bidi="th-TH"/>
        </w:rPr>
        <w:t>Perceptions of trust and connectedness are important markers of how people feel about the wellbeing of society</w:t>
      </w:r>
      <w:r w:rsidR="00F140F0">
        <w:rPr>
          <w:lang w:val="en-GB" w:eastAsia="zh-CN" w:bidi="th-TH"/>
        </w:rPr>
        <w:t xml:space="preserve"> (</w:t>
      </w:r>
      <w:r w:rsidR="00246AEF" w:rsidRPr="00CE6B92">
        <w:rPr>
          <w:rFonts w:ascii="Aptos" w:eastAsia="Aptos" w:hAnsi="Aptos" w:cs="Aptos"/>
          <w:szCs w:val="28"/>
          <w:lang w:val="en-GB" w:eastAsia="zh-CN" w:bidi="th-TH"/>
        </w:rPr>
        <w:t>O’Donnell</w:t>
      </w:r>
      <w:r w:rsidR="00246AEF">
        <w:rPr>
          <w:rFonts w:ascii="Aptos" w:eastAsia="Aptos" w:hAnsi="Aptos" w:cs="Aptos"/>
          <w:szCs w:val="28"/>
          <w:lang w:val="en-GB" w:eastAsia="zh-CN" w:bidi="th-TH"/>
        </w:rPr>
        <w:t xml:space="preserve"> et al. 2024</w:t>
      </w:r>
      <w:r w:rsidR="00F140F0">
        <w:rPr>
          <w:lang w:val="en-GB" w:eastAsia="zh-CN" w:bidi="th-TH"/>
        </w:rPr>
        <w:t>).</w:t>
      </w:r>
      <w:r w:rsidR="00CD32CB">
        <w:rPr>
          <w:lang w:val="en-GB" w:eastAsia="zh-CN" w:bidi="th-TH"/>
        </w:rPr>
        <w:t xml:space="preserve"> </w:t>
      </w:r>
      <w:r w:rsidRPr="00CE6B92">
        <w:rPr>
          <w:highlight w:val="white"/>
          <w:lang w:val="en-GB" w:eastAsia="zh-CN" w:bidi="th-TH"/>
        </w:rPr>
        <w:t>Participation in public life is an important way to make positive contributions to one’s community and translate into action feelings of trust and inclusion</w:t>
      </w:r>
      <w:r w:rsidR="00F140F0">
        <w:rPr>
          <w:highlight w:val="white"/>
          <w:lang w:val="en-GB" w:eastAsia="zh-CN" w:bidi="th-TH"/>
        </w:rPr>
        <w:t xml:space="preserve"> (</w:t>
      </w:r>
      <w:r w:rsidR="00246AEF" w:rsidRPr="00CE6B92">
        <w:rPr>
          <w:rFonts w:ascii="Aptos" w:eastAsia="Aptos" w:hAnsi="Aptos" w:cs="Aptos"/>
          <w:szCs w:val="28"/>
          <w:lang w:val="en-GB" w:eastAsia="zh-CN" w:bidi="th-TH"/>
        </w:rPr>
        <w:t>Ercan</w:t>
      </w:r>
      <w:r w:rsidR="00246AEF">
        <w:rPr>
          <w:rFonts w:ascii="Aptos" w:eastAsia="Aptos" w:hAnsi="Aptos" w:cs="Aptos"/>
          <w:szCs w:val="28"/>
          <w:lang w:val="en-GB" w:eastAsia="zh-CN" w:bidi="th-TH"/>
        </w:rPr>
        <w:t xml:space="preserve"> et al. </w:t>
      </w:r>
      <w:r w:rsidR="004C0816">
        <w:rPr>
          <w:rFonts w:ascii="Aptos" w:eastAsia="Aptos" w:hAnsi="Aptos" w:cs="Aptos"/>
          <w:szCs w:val="28"/>
          <w:lang w:val="en-GB" w:eastAsia="zh-CN" w:bidi="th-TH"/>
        </w:rPr>
        <w:t xml:space="preserve">2022; </w:t>
      </w:r>
      <w:r w:rsidR="004C0816" w:rsidRPr="00CE6B92">
        <w:rPr>
          <w:rFonts w:ascii="Aptos" w:eastAsia="Aptos" w:hAnsi="Aptos" w:cs="Aptos"/>
          <w:szCs w:val="28"/>
          <w:lang w:val="en-GB" w:eastAsia="zh-CN" w:bidi="th-TH"/>
        </w:rPr>
        <w:t>Hendriks</w:t>
      </w:r>
      <w:r w:rsidR="004C0816">
        <w:rPr>
          <w:rFonts w:ascii="Aptos" w:eastAsia="Aptos" w:hAnsi="Aptos" w:cs="Aptos"/>
          <w:szCs w:val="28"/>
          <w:lang w:val="en-GB" w:eastAsia="zh-CN" w:bidi="th-TH"/>
        </w:rPr>
        <w:t xml:space="preserve"> et al. 2020; </w:t>
      </w:r>
      <w:r w:rsidR="004C0816" w:rsidRPr="00CE6B92">
        <w:rPr>
          <w:rFonts w:ascii="Aptos" w:eastAsia="Aptos" w:hAnsi="Aptos" w:cs="Aptos"/>
          <w:szCs w:val="28"/>
          <w:lang w:val="en-GB" w:eastAsia="zh-CN" w:bidi="th-TH"/>
        </w:rPr>
        <w:t>Leigh and Terrell 2020</w:t>
      </w:r>
      <w:r w:rsidR="004C0816">
        <w:rPr>
          <w:rFonts w:ascii="Aptos" w:eastAsia="Aptos" w:hAnsi="Aptos" w:cs="Aptos"/>
          <w:szCs w:val="28"/>
          <w:lang w:val="en-GB" w:eastAsia="zh-CN" w:bidi="th-TH"/>
        </w:rPr>
        <w:t xml:space="preserve">; </w:t>
      </w:r>
      <w:r w:rsidR="004C0816" w:rsidRPr="00CE6B92">
        <w:rPr>
          <w:rFonts w:ascii="Aptos" w:eastAsia="Aptos" w:hAnsi="Aptos" w:cs="Aptos"/>
          <w:szCs w:val="28"/>
          <w:lang w:val="en-GB" w:eastAsia="zh-CN" w:bidi="th-TH"/>
        </w:rPr>
        <w:t>O’Donnell</w:t>
      </w:r>
      <w:r w:rsidR="004C0816">
        <w:rPr>
          <w:rFonts w:ascii="Aptos" w:eastAsia="Aptos" w:hAnsi="Aptos" w:cs="Aptos"/>
          <w:szCs w:val="28"/>
          <w:lang w:val="en-GB" w:eastAsia="zh-CN" w:bidi="th-TH"/>
        </w:rPr>
        <w:t xml:space="preserve"> et al. 2024; OECD 2024</w:t>
      </w:r>
      <w:r w:rsidR="00F140F0">
        <w:rPr>
          <w:highlight w:val="white"/>
          <w:lang w:val="en-GB" w:eastAsia="zh-CN" w:bidi="th-TH"/>
        </w:rPr>
        <w:t>).</w:t>
      </w:r>
      <w:r w:rsidR="00CD32CB">
        <w:rPr>
          <w:highlight w:val="white"/>
          <w:lang w:val="en-GB" w:eastAsia="zh-CN" w:bidi="th-TH"/>
        </w:rPr>
        <w:t xml:space="preserve"> </w:t>
      </w:r>
      <w:r w:rsidRPr="00CE6B92">
        <w:rPr>
          <w:highlight w:val="white"/>
          <w:lang w:val="en-GB" w:eastAsia="zh-CN" w:bidi="th-TH"/>
        </w:rPr>
        <w:t xml:space="preserve">Cultural and community institutions are sites of learning about civic </w:t>
      </w:r>
      <w:proofErr w:type="gramStart"/>
      <w:r w:rsidRPr="00CE6B92">
        <w:rPr>
          <w:highlight w:val="white"/>
          <w:lang w:val="en-GB" w:eastAsia="zh-CN" w:bidi="th-TH"/>
        </w:rPr>
        <w:t>values</w:t>
      </w:r>
      <w:proofErr w:type="gramEnd"/>
      <w:r w:rsidRPr="00CE6B92">
        <w:rPr>
          <w:highlight w:val="white"/>
          <w:lang w:val="en-GB" w:eastAsia="zh-CN" w:bidi="th-TH"/>
        </w:rPr>
        <w:t xml:space="preserve"> and they are unique in their reach</w:t>
      </w:r>
      <w:r w:rsidR="00F140F0">
        <w:rPr>
          <w:lang w:val="en-GB" w:eastAsia="zh-CN" w:bidi="th-TH"/>
        </w:rPr>
        <w:t xml:space="preserve"> (</w:t>
      </w:r>
      <w:r w:rsidR="004C0816" w:rsidRPr="00CE6B92">
        <w:rPr>
          <w:rFonts w:ascii="Aptos" w:eastAsia="Aptos" w:hAnsi="Aptos" w:cs="Aptos"/>
          <w:szCs w:val="28"/>
          <w:lang w:val="en-GB" w:eastAsia="zh-CN" w:bidi="th-TH"/>
        </w:rPr>
        <w:t>Fielding</w:t>
      </w:r>
      <w:r w:rsidR="004C0816">
        <w:rPr>
          <w:rFonts w:ascii="Aptos" w:eastAsia="Aptos" w:hAnsi="Aptos" w:cs="Aptos"/>
          <w:szCs w:val="28"/>
          <w:lang w:val="en-GB" w:eastAsia="zh-CN" w:bidi="th-TH"/>
        </w:rPr>
        <w:t xml:space="preserve"> et al. 2023; </w:t>
      </w:r>
      <w:r w:rsidR="004C0816" w:rsidRPr="00CE6B92">
        <w:rPr>
          <w:rFonts w:ascii="Aptos" w:eastAsia="Aptos" w:hAnsi="Aptos" w:cs="Aptos"/>
          <w:szCs w:val="28"/>
          <w:lang w:val="en-GB" w:eastAsia="zh-CN" w:bidi="th-TH"/>
        </w:rPr>
        <w:t>Leigh and Terrell 2020</w:t>
      </w:r>
      <w:r w:rsidR="004C0816">
        <w:rPr>
          <w:rFonts w:ascii="Aptos" w:eastAsia="Aptos" w:hAnsi="Aptos" w:cs="Aptos"/>
          <w:szCs w:val="28"/>
          <w:lang w:val="en-GB" w:eastAsia="zh-CN" w:bidi="th-TH"/>
        </w:rPr>
        <w:t xml:space="preserve">; </w:t>
      </w:r>
      <w:r w:rsidR="004C0816" w:rsidRPr="00CE6B92">
        <w:rPr>
          <w:rFonts w:ascii="Aptos" w:eastAsia="Aptos" w:hAnsi="Aptos" w:cs="Aptos"/>
          <w:szCs w:val="28"/>
          <w:lang w:val="en-GB" w:eastAsia="zh-CN" w:bidi="th-TH"/>
        </w:rPr>
        <w:t>Vivian</w:t>
      </w:r>
      <w:r w:rsidR="004C0816">
        <w:rPr>
          <w:rFonts w:ascii="Aptos" w:eastAsia="Aptos" w:hAnsi="Aptos" w:cs="Aptos"/>
          <w:szCs w:val="28"/>
          <w:lang w:val="en-GB" w:eastAsia="zh-CN" w:bidi="th-TH"/>
        </w:rPr>
        <w:t xml:space="preserve"> et al. 2024</w:t>
      </w:r>
      <w:r w:rsidR="00F140F0">
        <w:rPr>
          <w:lang w:val="en-GB" w:eastAsia="zh-CN" w:bidi="th-TH"/>
        </w:rPr>
        <w:t>).</w:t>
      </w:r>
      <w:r w:rsidR="00CD32CB">
        <w:rPr>
          <w:lang w:val="en-GB" w:eastAsia="zh-CN" w:bidi="th-TH"/>
        </w:rPr>
        <w:t xml:space="preserve"> </w:t>
      </w:r>
      <w:r w:rsidRPr="00CE6B92">
        <w:rPr>
          <w:lang w:val="en-GB" w:eastAsia="zh-CN" w:bidi="th-TH"/>
        </w:rPr>
        <w:t xml:space="preserve">There is evidence – largely qualitative – that </w:t>
      </w:r>
      <w:r w:rsidRPr="00CE6B92">
        <w:rPr>
          <w:highlight w:val="white"/>
          <w:lang w:val="en-GB" w:eastAsia="zh-CN" w:bidi="th-TH"/>
        </w:rPr>
        <w:t>participation in cultural and community activities enhances civic literacy, positive attitudes towards democratic processes and perceptions of belonging, tolerance and trust</w:t>
      </w:r>
      <w:r w:rsidR="00F140F0">
        <w:rPr>
          <w:highlight w:val="white"/>
          <w:lang w:val="en-GB" w:eastAsia="zh-CN" w:bidi="th-TH"/>
        </w:rPr>
        <w:t xml:space="preserve"> (</w:t>
      </w:r>
      <w:r w:rsidR="004C0816" w:rsidRPr="00CE6B92">
        <w:rPr>
          <w:rFonts w:ascii="Aptos" w:eastAsia="Aptos" w:hAnsi="Aptos" w:cs="Aptos"/>
          <w:szCs w:val="28"/>
          <w:lang w:val="en-GB" w:eastAsia="zh-CN" w:bidi="th-TH"/>
        </w:rPr>
        <w:t>Hammonds</w:t>
      </w:r>
      <w:r w:rsidR="004C0816">
        <w:rPr>
          <w:rFonts w:ascii="Aptos" w:eastAsia="Aptos" w:hAnsi="Aptos" w:cs="Aptos"/>
          <w:szCs w:val="28"/>
          <w:lang w:val="en-GB" w:eastAsia="zh-CN" w:bidi="th-TH"/>
        </w:rPr>
        <w:t xml:space="preserve"> 2023</w:t>
      </w:r>
      <w:r w:rsidR="00F140F0">
        <w:rPr>
          <w:highlight w:val="white"/>
          <w:lang w:val="en-GB" w:eastAsia="zh-CN" w:bidi="th-TH"/>
        </w:rPr>
        <w:t>).</w:t>
      </w:r>
      <w:r w:rsidR="00CD32CB">
        <w:rPr>
          <w:highlight w:val="white"/>
          <w:lang w:val="en-GB" w:eastAsia="zh-CN" w:bidi="th-TH"/>
        </w:rPr>
        <w:t xml:space="preserve"> </w:t>
      </w:r>
      <w:r w:rsidRPr="00CE6B92">
        <w:rPr>
          <w:highlight w:val="white"/>
          <w:lang w:val="en-GB" w:eastAsia="zh-CN" w:bidi="th-TH"/>
        </w:rPr>
        <w:t>Research also identifies a positive relationship between higher levels of civic, information and media literacy and involvement in civic engagement activities</w:t>
      </w:r>
      <w:r w:rsidR="00F140F0">
        <w:rPr>
          <w:highlight w:val="white"/>
          <w:lang w:val="en-GB" w:eastAsia="zh-CN" w:bidi="th-TH"/>
        </w:rPr>
        <w:t xml:space="preserve"> (</w:t>
      </w:r>
      <w:r w:rsidR="004C0816" w:rsidRPr="00CE6B92">
        <w:rPr>
          <w:rFonts w:ascii="Aptos" w:eastAsia="Aptos" w:hAnsi="Aptos" w:cs="Aptos"/>
          <w:szCs w:val="28"/>
          <w:lang w:val="en-GB" w:eastAsia="zh-CN" w:bidi="th-TH"/>
        </w:rPr>
        <w:t>Martens and Hobbs 2015</w:t>
      </w:r>
      <w:r w:rsidR="004C0816">
        <w:rPr>
          <w:rFonts w:ascii="Aptos" w:eastAsia="Aptos" w:hAnsi="Aptos" w:cs="Aptos"/>
          <w:szCs w:val="28"/>
          <w:lang w:val="en-GB" w:eastAsia="zh-CN" w:bidi="th-TH"/>
        </w:rPr>
        <w:t>;</w:t>
      </w:r>
      <w:r w:rsidR="002E27D0">
        <w:rPr>
          <w:rFonts w:ascii="Aptos" w:eastAsia="Aptos" w:hAnsi="Aptos" w:cs="Aptos"/>
          <w:szCs w:val="28"/>
          <w:lang w:val="en-GB" w:eastAsia="zh-CN" w:bidi="th-TH"/>
        </w:rPr>
        <w:t xml:space="preserve"> </w:t>
      </w:r>
      <w:r w:rsidR="002E27D0" w:rsidRPr="00CE6B92">
        <w:rPr>
          <w:rFonts w:ascii="Aptos" w:eastAsia="Aptos" w:hAnsi="Aptos" w:cs="Aptos"/>
          <w:szCs w:val="28"/>
          <w:lang w:val="en-GB" w:eastAsia="zh-CN" w:bidi="th-TH"/>
        </w:rPr>
        <w:t>McDougall 2019</w:t>
      </w:r>
      <w:r w:rsidR="002E27D0">
        <w:rPr>
          <w:rFonts w:ascii="Aptos" w:eastAsia="Aptos" w:hAnsi="Aptos" w:cs="Aptos"/>
          <w:szCs w:val="28"/>
          <w:lang w:val="en-GB" w:eastAsia="zh-CN" w:bidi="th-TH"/>
        </w:rPr>
        <w:t>;</w:t>
      </w:r>
      <w:r w:rsidR="004C0816">
        <w:rPr>
          <w:rFonts w:ascii="Aptos" w:eastAsia="Aptos" w:hAnsi="Aptos" w:cs="Aptos"/>
          <w:szCs w:val="28"/>
          <w:lang w:val="en-GB" w:eastAsia="zh-CN" w:bidi="th-TH"/>
        </w:rPr>
        <w:t xml:space="preserve"> </w:t>
      </w:r>
      <w:r w:rsidR="005D714E" w:rsidRPr="00CE6B92">
        <w:rPr>
          <w:rFonts w:ascii="Aptos" w:eastAsia="Aptos" w:hAnsi="Aptos" w:cs="Aptos"/>
          <w:szCs w:val="28"/>
          <w:lang w:val="en-GB" w:eastAsia="zh-CN" w:bidi="th-TH"/>
        </w:rPr>
        <w:t>Park</w:t>
      </w:r>
      <w:r w:rsidR="005D714E">
        <w:rPr>
          <w:rFonts w:ascii="Aptos" w:eastAsia="Aptos" w:hAnsi="Aptos" w:cs="Aptos"/>
          <w:szCs w:val="28"/>
          <w:lang w:val="en-GB" w:eastAsia="zh-CN" w:bidi="th-TH"/>
        </w:rPr>
        <w:t xml:space="preserve"> et al. 2023</w:t>
      </w:r>
      <w:r w:rsidR="00111BCD">
        <w:rPr>
          <w:rFonts w:ascii="Aptos" w:eastAsia="Aptos" w:hAnsi="Aptos" w:cs="Aptos"/>
          <w:szCs w:val="28"/>
          <w:lang w:val="en-GB" w:eastAsia="zh-CN" w:bidi="th-TH"/>
        </w:rPr>
        <w:t>a</w:t>
      </w:r>
      <w:r w:rsidR="005D714E">
        <w:rPr>
          <w:rFonts w:ascii="Aptos" w:eastAsia="Aptos" w:hAnsi="Aptos" w:cs="Aptos"/>
          <w:szCs w:val="28"/>
          <w:lang w:val="en-GB" w:eastAsia="zh-CN" w:bidi="th-TH"/>
        </w:rPr>
        <w:t xml:space="preserve">; </w:t>
      </w:r>
      <w:r w:rsidR="005D714E" w:rsidRPr="00CE6B92">
        <w:rPr>
          <w:rFonts w:ascii="Aptos" w:eastAsia="Aptos" w:hAnsi="Aptos" w:cs="Aptos"/>
          <w:szCs w:val="28"/>
          <w:lang w:val="en-GB" w:eastAsia="zh-CN" w:bidi="th-TH"/>
        </w:rPr>
        <w:t>Yang and Sukhmani 2024</w:t>
      </w:r>
      <w:r w:rsidR="00F140F0">
        <w:rPr>
          <w:highlight w:val="white"/>
          <w:lang w:val="en-GB" w:eastAsia="zh-CN" w:bidi="th-TH"/>
        </w:rPr>
        <w:t>).</w:t>
      </w:r>
      <w:r w:rsidR="00CD32CB">
        <w:rPr>
          <w:highlight w:val="white"/>
          <w:lang w:val="en-GB" w:eastAsia="zh-CN" w:bidi="th-TH"/>
        </w:rPr>
        <w:t xml:space="preserve"> </w:t>
      </w:r>
      <w:r w:rsidRPr="00CE6B92">
        <w:rPr>
          <w:highlight w:val="white"/>
          <w:lang w:val="en-GB" w:eastAsia="zh-CN" w:bidi="th-TH"/>
        </w:rPr>
        <w:t>The competencies developed are theorised to support meaningful participation</w:t>
      </w:r>
      <w:r w:rsidR="002E27D0">
        <w:rPr>
          <w:highlight w:val="white"/>
          <w:lang w:val="en-GB" w:eastAsia="zh-CN" w:bidi="th-TH"/>
        </w:rPr>
        <w:t xml:space="preserve"> (</w:t>
      </w:r>
      <w:r w:rsidR="002E27D0" w:rsidRPr="00CE6B92">
        <w:rPr>
          <w:rFonts w:ascii="Aptos" w:eastAsia="Aptos" w:hAnsi="Aptos" w:cs="Aptos"/>
          <w:szCs w:val="28"/>
          <w:lang w:val="en-GB" w:eastAsia="zh-CN" w:bidi="th-TH"/>
        </w:rPr>
        <w:t>Ghazarian and Laughland-</w:t>
      </w:r>
      <w:proofErr w:type="spellStart"/>
      <w:r w:rsidR="002E27D0" w:rsidRPr="00CE6B92">
        <w:rPr>
          <w:rFonts w:ascii="Aptos" w:eastAsia="Aptos" w:hAnsi="Aptos" w:cs="Aptos"/>
          <w:szCs w:val="28"/>
          <w:lang w:val="en-GB" w:eastAsia="zh-CN" w:bidi="th-TH"/>
        </w:rPr>
        <w:t>Booÿ</w:t>
      </w:r>
      <w:proofErr w:type="spellEnd"/>
      <w:r w:rsidR="002E27D0" w:rsidRPr="00CE6B92">
        <w:rPr>
          <w:rFonts w:ascii="Aptos" w:eastAsia="Aptos" w:hAnsi="Aptos" w:cs="Aptos"/>
          <w:szCs w:val="28"/>
          <w:lang w:val="en-GB" w:eastAsia="zh-CN" w:bidi="th-TH"/>
        </w:rPr>
        <w:t xml:space="preserve"> 2021</w:t>
      </w:r>
      <w:r w:rsidR="002E27D0">
        <w:rPr>
          <w:rFonts w:ascii="Aptos" w:eastAsia="Aptos" w:hAnsi="Aptos" w:cs="Aptos"/>
          <w:szCs w:val="28"/>
          <w:lang w:val="en-GB" w:eastAsia="zh-CN" w:bidi="th-TH"/>
        </w:rPr>
        <w:t xml:space="preserve">; </w:t>
      </w:r>
      <w:r w:rsidR="005D714E" w:rsidRPr="00CE6B92">
        <w:rPr>
          <w:rFonts w:ascii="Aptos" w:eastAsia="Aptos" w:hAnsi="Aptos" w:cs="Aptos"/>
          <w:szCs w:val="28"/>
          <w:lang w:val="en-GB" w:eastAsia="zh-CN" w:bidi="th-TH"/>
        </w:rPr>
        <w:t>McDougall 2019</w:t>
      </w:r>
      <w:r w:rsidR="005D714E">
        <w:rPr>
          <w:rFonts w:ascii="Aptos" w:eastAsia="Aptos" w:hAnsi="Aptos" w:cs="Aptos"/>
          <w:szCs w:val="28"/>
          <w:lang w:val="en-GB" w:eastAsia="zh-CN" w:bidi="th-TH"/>
        </w:rPr>
        <w:t xml:space="preserve">; </w:t>
      </w:r>
      <w:proofErr w:type="spellStart"/>
      <w:r w:rsidR="005D714E" w:rsidRPr="00CE6B92">
        <w:rPr>
          <w:rFonts w:ascii="Aptos" w:eastAsia="Aptos" w:hAnsi="Aptos" w:cs="Aptos"/>
          <w:szCs w:val="28"/>
          <w:lang w:val="en-GB" w:eastAsia="zh-CN" w:bidi="th-TH"/>
        </w:rPr>
        <w:t>Mihailidis</w:t>
      </w:r>
      <w:proofErr w:type="spellEnd"/>
      <w:r w:rsidR="005D714E" w:rsidRPr="00CE6B92">
        <w:rPr>
          <w:rFonts w:ascii="Aptos" w:eastAsia="Aptos" w:hAnsi="Aptos" w:cs="Aptos"/>
          <w:szCs w:val="28"/>
          <w:lang w:val="en-GB" w:eastAsia="zh-CN" w:bidi="th-TH"/>
        </w:rPr>
        <w:t xml:space="preserve"> 2018</w:t>
      </w:r>
      <w:r w:rsidR="005D714E">
        <w:rPr>
          <w:rFonts w:ascii="Aptos" w:eastAsia="Aptos" w:hAnsi="Aptos" w:cs="Aptos"/>
          <w:szCs w:val="28"/>
          <w:lang w:val="en-GB" w:eastAsia="zh-CN" w:bidi="th-TH"/>
        </w:rPr>
        <w:t xml:space="preserve">; </w:t>
      </w:r>
      <w:r w:rsidR="005D714E" w:rsidRPr="00CE6B92">
        <w:rPr>
          <w:rFonts w:ascii="Aptos" w:eastAsia="Aptos" w:hAnsi="Aptos" w:cs="Aptos"/>
          <w:szCs w:val="28"/>
          <w:lang w:val="en-GB" w:eastAsia="zh-CN" w:bidi="th-TH"/>
        </w:rPr>
        <w:t>Yang and Sukhmani 2024</w:t>
      </w:r>
      <w:r w:rsidR="005D714E">
        <w:rPr>
          <w:rFonts w:ascii="Aptos" w:eastAsia="Aptos" w:hAnsi="Aptos" w:cs="Aptos"/>
          <w:szCs w:val="28"/>
          <w:lang w:val="en-GB" w:eastAsia="zh-CN" w:bidi="th-TH"/>
        </w:rPr>
        <w:t>)</w:t>
      </w:r>
      <w:r w:rsidRPr="00CE6B92">
        <w:rPr>
          <w:highlight w:val="white"/>
          <w:lang w:val="en-GB" w:eastAsia="zh-CN" w:bidi="th-TH"/>
        </w:rPr>
        <w:t>,</w:t>
      </w:r>
      <w:r w:rsidR="00CD32CB">
        <w:rPr>
          <w:highlight w:val="white"/>
          <w:lang w:val="en-GB" w:eastAsia="zh-CN" w:bidi="th-TH"/>
        </w:rPr>
        <w:t xml:space="preserve"> </w:t>
      </w:r>
      <w:r w:rsidRPr="00CE6B92">
        <w:rPr>
          <w:highlight w:val="white"/>
          <w:lang w:val="en-GB" w:eastAsia="zh-CN" w:bidi="th-TH"/>
        </w:rPr>
        <w:t>conceivably promoting a ‘stakeholder society’ in which all citizens have a direct stake and sense of collective responsibility</w:t>
      </w:r>
      <w:r w:rsidR="00F140F0">
        <w:rPr>
          <w:highlight w:val="white"/>
          <w:lang w:val="en-GB" w:eastAsia="zh-CN" w:bidi="th-TH"/>
        </w:rPr>
        <w:t xml:space="preserve"> (</w:t>
      </w:r>
      <w:r w:rsidR="00B870C1" w:rsidRPr="00CE6B92">
        <w:rPr>
          <w:rFonts w:ascii="Aptos" w:eastAsia="Aptos" w:hAnsi="Aptos" w:cs="Aptos"/>
          <w:szCs w:val="28"/>
          <w:lang w:val="en-GB" w:eastAsia="zh-CN" w:bidi="th-TH"/>
        </w:rPr>
        <w:t>Ackermann and Alstott 1999</w:t>
      </w:r>
      <w:r w:rsidR="00F140F0">
        <w:rPr>
          <w:highlight w:val="white"/>
          <w:lang w:val="en-GB" w:eastAsia="zh-CN" w:bidi="th-TH"/>
        </w:rPr>
        <w:t>).</w:t>
      </w:r>
    </w:p>
    <w:p w14:paraId="437B6A6C" w14:textId="77777777" w:rsidR="00CD32CB" w:rsidRDefault="00CE6B92" w:rsidP="001B7F4E">
      <w:pPr>
        <w:rPr>
          <w:lang w:val="en-GB" w:eastAsia="zh-CN" w:bidi="th-TH"/>
        </w:rPr>
      </w:pPr>
      <w:r w:rsidRPr="00CE6B92">
        <w:rPr>
          <w:highlight w:val="white"/>
          <w:lang w:val="en-GB" w:eastAsia="zh-CN" w:bidi="th-TH"/>
        </w:rPr>
        <w:t>Programs and partnerships between cultural institutions and schools are important channels for exposing young people to their civic responsibilities</w:t>
      </w:r>
      <w:r w:rsidRPr="00CE6B92">
        <w:rPr>
          <w:lang w:val="en-GB" w:eastAsia="zh-CN" w:bidi="th-TH"/>
        </w:rPr>
        <w:t xml:space="preserve"> and the diverse Australian public</w:t>
      </w:r>
      <w:r w:rsidR="00F140F0">
        <w:rPr>
          <w:lang w:val="en-GB" w:eastAsia="zh-CN" w:bidi="th-TH"/>
        </w:rPr>
        <w:t xml:space="preserve"> (</w:t>
      </w:r>
      <w:r w:rsidR="00B870C1" w:rsidRPr="00CE6B92">
        <w:rPr>
          <w:rFonts w:ascii="Aptos" w:eastAsia="Aptos" w:hAnsi="Aptos" w:cs="Aptos"/>
          <w:szCs w:val="28"/>
          <w:lang w:val="en-GB" w:eastAsia="zh-CN" w:bidi="th-TH"/>
        </w:rPr>
        <w:t>Ghazarian and Laughland-</w:t>
      </w:r>
      <w:proofErr w:type="spellStart"/>
      <w:r w:rsidR="00B870C1" w:rsidRPr="00CE6B92">
        <w:rPr>
          <w:rFonts w:ascii="Aptos" w:eastAsia="Aptos" w:hAnsi="Aptos" w:cs="Aptos"/>
          <w:szCs w:val="28"/>
          <w:lang w:val="en-GB" w:eastAsia="zh-CN" w:bidi="th-TH"/>
        </w:rPr>
        <w:t>Booÿ</w:t>
      </w:r>
      <w:proofErr w:type="spellEnd"/>
      <w:r w:rsidR="00B870C1" w:rsidRPr="00CE6B92">
        <w:rPr>
          <w:rFonts w:ascii="Aptos" w:eastAsia="Aptos" w:hAnsi="Aptos" w:cs="Aptos"/>
          <w:szCs w:val="28"/>
          <w:lang w:val="en-GB" w:eastAsia="zh-CN" w:bidi="th-TH"/>
        </w:rPr>
        <w:t xml:space="preserve"> 2021</w:t>
      </w:r>
      <w:r w:rsidR="00B870C1">
        <w:rPr>
          <w:rFonts w:ascii="Aptos" w:eastAsia="Aptos" w:hAnsi="Aptos" w:cs="Aptos"/>
          <w:szCs w:val="28"/>
          <w:lang w:val="en-GB" w:eastAsia="zh-CN" w:bidi="th-TH"/>
        </w:rPr>
        <w:t xml:space="preserve">; </w:t>
      </w:r>
      <w:r w:rsidR="00B870C1" w:rsidRPr="00CE6B92">
        <w:rPr>
          <w:rFonts w:ascii="Aptos" w:eastAsia="Aptos" w:hAnsi="Aptos" w:cs="Aptos"/>
          <w:szCs w:val="28"/>
          <w:lang w:val="en-GB" w:eastAsia="zh-CN" w:bidi="th-TH"/>
        </w:rPr>
        <w:t>Senate Legal and Constitutional Affairs References Committee 2021</w:t>
      </w:r>
      <w:r w:rsidR="00B870C1">
        <w:rPr>
          <w:rFonts w:ascii="Aptos" w:eastAsia="Aptos" w:hAnsi="Aptos" w:cs="Aptos"/>
          <w:szCs w:val="28"/>
          <w:lang w:val="en-GB" w:eastAsia="zh-CN" w:bidi="th-TH"/>
        </w:rPr>
        <w:t xml:space="preserve">; </w:t>
      </w:r>
      <w:r w:rsidR="00A2332D" w:rsidRPr="00CE6B92">
        <w:rPr>
          <w:rFonts w:ascii="Aptos" w:eastAsia="Aptos" w:hAnsi="Aptos" w:cs="Aptos"/>
          <w:szCs w:val="28"/>
          <w:lang w:val="en-GB" w:eastAsia="zh-CN" w:bidi="th-TH"/>
        </w:rPr>
        <w:t>Strengthening Democracy Taskforce 2024</w:t>
      </w:r>
      <w:r w:rsidR="00F140F0">
        <w:rPr>
          <w:lang w:val="en-GB" w:eastAsia="zh-CN" w:bidi="th-TH"/>
        </w:rPr>
        <w:t>).</w:t>
      </w:r>
      <w:r w:rsidR="00CD32CB">
        <w:rPr>
          <w:lang w:val="en-GB" w:eastAsia="zh-CN" w:bidi="th-TH"/>
        </w:rPr>
        <w:t xml:space="preserve"> </w:t>
      </w:r>
      <w:r w:rsidRPr="00CE6B92">
        <w:rPr>
          <w:highlight w:val="white"/>
          <w:lang w:val="en-GB" w:eastAsia="zh-CN" w:bidi="th-TH"/>
        </w:rPr>
        <w:t>The triennial National Assessment Program–Civics and Citizenship (NAP–CC) tests the civics and citizenship knowledge of a national sample of year 6 and 10 students. The 2020 NAP–CC found that participation in excursions to cultural and democratic institutions were associated with higher scores (41 and 47</w:t>
      </w:r>
      <w:r w:rsidR="00FB01F0">
        <w:rPr>
          <w:highlight w:val="white"/>
          <w:lang w:val="en-GB" w:eastAsia="zh-CN" w:bidi="th-TH"/>
        </w:rPr>
        <w:t> </w:t>
      </w:r>
      <w:r w:rsidRPr="00CE6B92">
        <w:rPr>
          <w:highlight w:val="white"/>
          <w:lang w:val="en-GB" w:eastAsia="zh-CN" w:bidi="th-TH"/>
        </w:rPr>
        <w:t xml:space="preserve">scale points </w:t>
      </w:r>
      <w:r w:rsidRPr="00CE6B92">
        <w:rPr>
          <w:highlight w:val="white"/>
          <w:lang w:val="en-GB" w:eastAsia="zh-CN" w:bidi="th-TH"/>
        </w:rPr>
        <w:lastRenderedPageBreak/>
        <w:t>higher for Year 6 and 10 students respectively who had participated)</w:t>
      </w:r>
      <w:r w:rsidR="00A2332D">
        <w:rPr>
          <w:highlight w:val="white"/>
          <w:lang w:val="en-GB" w:eastAsia="zh-CN" w:bidi="th-TH"/>
        </w:rPr>
        <w:t xml:space="preserve"> </w:t>
      </w:r>
      <w:r w:rsidR="00BA253E">
        <w:rPr>
          <w:highlight w:val="white"/>
          <w:lang w:val="en-GB" w:eastAsia="zh-CN" w:bidi="th-TH"/>
        </w:rPr>
        <w:t>(</w:t>
      </w:r>
      <w:r w:rsidR="00BA253E" w:rsidRPr="00CE6B92">
        <w:rPr>
          <w:rFonts w:ascii="Aptos" w:eastAsia="Aptos" w:hAnsi="Aptos" w:cs="Aptos"/>
          <w:szCs w:val="28"/>
          <w:lang w:val="en-GB" w:eastAsia="zh-CN" w:bidi="th-TH"/>
        </w:rPr>
        <w:t>ACARA</w:t>
      </w:r>
      <w:r w:rsidR="00BA253E">
        <w:rPr>
          <w:rFonts w:ascii="Aptos" w:eastAsia="Aptos" w:hAnsi="Aptos" w:cs="Aptos"/>
          <w:szCs w:val="28"/>
          <w:lang w:val="en-GB" w:eastAsia="zh-CN" w:bidi="th-TH"/>
        </w:rPr>
        <w:t xml:space="preserve"> 2020)</w:t>
      </w:r>
      <w:r w:rsidRPr="00CE6B92">
        <w:rPr>
          <w:highlight w:val="white"/>
          <w:lang w:val="en-GB" w:eastAsia="zh-CN" w:bidi="th-TH"/>
        </w:rPr>
        <w:t>.</w:t>
      </w:r>
      <w:r w:rsidR="00937846" w:rsidRPr="00CE6B92">
        <w:rPr>
          <w:highlight w:val="white"/>
          <w:vertAlign w:val="superscript"/>
          <w:lang w:val="en-GB" w:eastAsia="zh-CN" w:bidi="th-TH"/>
        </w:rPr>
        <w:footnoteReference w:id="2"/>
      </w:r>
      <w:r w:rsidR="00937846" w:rsidRPr="00CE6B92">
        <w:rPr>
          <w:highlight w:val="white"/>
          <w:lang w:val="en-GB" w:eastAsia="zh-CN" w:bidi="th-TH"/>
        </w:rPr>
        <w:t xml:space="preserve"> </w:t>
      </w:r>
      <w:r w:rsidRPr="00CE6B92">
        <w:rPr>
          <w:highlight w:val="white"/>
          <w:lang w:val="en-GB" w:eastAsia="zh-CN" w:bidi="th-TH"/>
        </w:rPr>
        <w:t>Participation in community activities such as volunteering and membership of social cause groups were associated</w:t>
      </w:r>
      <w:r w:rsidRPr="00CE6B92">
        <w:rPr>
          <w:lang w:val="en-GB" w:eastAsia="zh-CN" w:bidi="th-TH"/>
        </w:rPr>
        <w:t xml:space="preserve"> with higher scores (46 scale points lower for students had not participated)</w:t>
      </w:r>
      <w:r w:rsidR="00BA253E">
        <w:rPr>
          <w:lang w:val="en-GB" w:eastAsia="zh-CN" w:bidi="th-TH"/>
        </w:rPr>
        <w:t xml:space="preserve"> (</w:t>
      </w:r>
      <w:r w:rsidR="00BA253E">
        <w:rPr>
          <w:rFonts w:ascii="Aptos" w:eastAsia="Aptos" w:hAnsi="Aptos" w:cs="Aptos"/>
          <w:szCs w:val="28"/>
          <w:lang w:val="en-GB" w:eastAsia="zh-CN" w:bidi="th-TH"/>
        </w:rPr>
        <w:t>ACARA 2024)</w:t>
      </w:r>
      <w:r w:rsidRPr="00CE6B92">
        <w:rPr>
          <w:lang w:val="en-GB" w:eastAsia="zh-CN" w:bidi="th-TH"/>
        </w:rPr>
        <w:t>,</w:t>
      </w:r>
      <w:r w:rsidR="00CD32CB">
        <w:rPr>
          <w:lang w:val="en-GB" w:eastAsia="zh-CN" w:bidi="th-TH"/>
        </w:rPr>
        <w:t xml:space="preserve"> </w:t>
      </w:r>
      <w:r w:rsidRPr="00CE6B92">
        <w:rPr>
          <w:lang w:val="en-GB" w:eastAsia="zh-CN" w:bidi="th-TH"/>
        </w:rPr>
        <w:t>as were positive attitudes towards diversity</w:t>
      </w:r>
      <w:r w:rsidR="00F140F0">
        <w:rPr>
          <w:lang w:val="en-GB" w:eastAsia="zh-CN" w:bidi="th-TH"/>
        </w:rPr>
        <w:t xml:space="preserve"> (</w:t>
      </w:r>
      <w:r w:rsidR="00BA253E" w:rsidRPr="00CE6B92">
        <w:rPr>
          <w:rFonts w:ascii="Aptos" w:eastAsia="Aptos" w:hAnsi="Aptos" w:cs="Aptos"/>
          <w:szCs w:val="28"/>
          <w:lang w:val="en-GB" w:eastAsia="zh-CN" w:bidi="th-TH"/>
        </w:rPr>
        <w:t>ACARA</w:t>
      </w:r>
      <w:r w:rsidR="00BA253E">
        <w:rPr>
          <w:rFonts w:ascii="Aptos" w:eastAsia="Aptos" w:hAnsi="Aptos" w:cs="Aptos"/>
          <w:szCs w:val="28"/>
          <w:lang w:val="en-GB" w:eastAsia="zh-CN" w:bidi="th-TH"/>
        </w:rPr>
        <w:t xml:space="preserve"> 2020</w:t>
      </w:r>
      <w:r w:rsidR="00676147">
        <w:rPr>
          <w:rFonts w:ascii="Aptos" w:eastAsia="Aptos" w:hAnsi="Aptos" w:cs="Aptos"/>
          <w:szCs w:val="28"/>
          <w:lang w:val="en-GB" w:eastAsia="zh-CN" w:bidi="th-TH"/>
        </w:rPr>
        <w:t>,</w:t>
      </w:r>
      <w:r w:rsidR="00BA253E">
        <w:rPr>
          <w:rFonts w:ascii="Aptos" w:eastAsia="Aptos" w:hAnsi="Aptos" w:cs="Aptos"/>
          <w:szCs w:val="28"/>
          <w:lang w:val="en-GB" w:eastAsia="zh-CN" w:bidi="th-TH"/>
        </w:rPr>
        <w:t xml:space="preserve"> 2024</w:t>
      </w:r>
      <w:r w:rsidR="00F140F0">
        <w:rPr>
          <w:lang w:val="en-GB" w:eastAsia="zh-CN" w:bidi="th-TH"/>
        </w:rPr>
        <w:t>).</w:t>
      </w:r>
    </w:p>
    <w:p w14:paraId="43627FD0" w14:textId="77777777" w:rsidR="00CD32CB" w:rsidRDefault="00CE6B92" w:rsidP="001B7F4E">
      <w:pPr>
        <w:rPr>
          <w:lang w:eastAsia="zh-CN" w:bidi="th-TH"/>
        </w:rPr>
      </w:pPr>
      <w:r w:rsidRPr="688499C8">
        <w:rPr>
          <w:highlight w:val="white"/>
          <w:lang w:eastAsia="zh-CN" w:bidi="th-TH"/>
        </w:rPr>
        <w:t>The literature characterises collection management practices as a way that GLAMs enable participation, with flow</w:t>
      </w:r>
      <w:r w:rsidR="001404FB">
        <w:rPr>
          <w:highlight w:val="white"/>
          <w:lang w:eastAsia="zh-CN" w:bidi="th-TH"/>
        </w:rPr>
        <w:noBreakHyphen/>
      </w:r>
      <w:r w:rsidRPr="688499C8">
        <w:rPr>
          <w:highlight w:val="white"/>
          <w:lang w:eastAsia="zh-CN" w:bidi="th-TH"/>
        </w:rPr>
        <w:t xml:space="preserve">on effects for the wellbeing of the public sphere. Collection management practices advocate for maintaining collections that are accessible and ensure there is </w:t>
      </w:r>
      <w:r w:rsidR="005626AD" w:rsidRPr="688499C8">
        <w:rPr>
          <w:highlight w:val="white"/>
          <w:lang w:eastAsia="zh-CN" w:bidi="th-TH"/>
        </w:rPr>
        <w:t>‘</w:t>
      </w:r>
      <w:r w:rsidRPr="688499C8">
        <w:rPr>
          <w:highlight w:val="white"/>
          <w:lang w:eastAsia="zh-CN" w:bidi="th-TH"/>
        </w:rPr>
        <w:t>a space and place for the broadest possible array of community views</w:t>
      </w:r>
      <w:r w:rsidR="005626AD" w:rsidRPr="688499C8">
        <w:rPr>
          <w:highlight w:val="white"/>
          <w:lang w:eastAsia="zh-CN" w:bidi="th-TH"/>
        </w:rPr>
        <w:t>’</w:t>
      </w:r>
      <w:r w:rsidR="00F140F0">
        <w:rPr>
          <w:highlight w:val="white"/>
          <w:lang w:eastAsia="zh-CN" w:bidi="th-TH"/>
        </w:rPr>
        <w:t xml:space="preserve"> (</w:t>
      </w:r>
      <w:r w:rsidR="008C606F">
        <w:rPr>
          <w:rFonts w:ascii="Aptos" w:eastAsia="Aptos" w:hAnsi="Aptos" w:cs="Aptos"/>
          <w:szCs w:val="28"/>
          <w:lang w:val="en-GB" w:eastAsia="zh-CN" w:bidi="th-TH"/>
        </w:rPr>
        <w:t>NLA</w:t>
      </w:r>
      <w:r w:rsidR="00BA253E">
        <w:rPr>
          <w:rFonts w:ascii="Aptos" w:eastAsia="Aptos" w:hAnsi="Aptos" w:cs="Aptos"/>
          <w:szCs w:val="28"/>
          <w:lang w:val="en-GB" w:eastAsia="zh-CN" w:bidi="th-TH"/>
        </w:rPr>
        <w:t xml:space="preserve"> </w:t>
      </w:r>
      <w:r w:rsidR="00385A75">
        <w:rPr>
          <w:rFonts w:ascii="Aptos" w:eastAsia="Aptos" w:hAnsi="Aptos" w:cs="Aptos"/>
          <w:szCs w:val="28"/>
          <w:lang w:val="en-GB" w:eastAsia="zh-CN" w:bidi="th-TH"/>
        </w:rPr>
        <w:t>2025</w:t>
      </w:r>
      <w:r w:rsidR="00F140F0">
        <w:rPr>
          <w:highlight w:val="white"/>
          <w:lang w:eastAsia="zh-CN" w:bidi="th-TH"/>
        </w:rPr>
        <w:t>).</w:t>
      </w:r>
      <w:r w:rsidR="00CD32CB">
        <w:rPr>
          <w:highlight w:val="white"/>
          <w:lang w:eastAsia="zh-CN" w:bidi="th-TH"/>
        </w:rPr>
        <w:t xml:space="preserve"> </w:t>
      </w:r>
      <w:r w:rsidRPr="688499C8">
        <w:rPr>
          <w:highlight w:val="white"/>
          <w:lang w:eastAsia="zh-CN" w:bidi="th-TH"/>
        </w:rPr>
        <w:t>This provides the public with the knowledge and materials needed to understand the value of cultural heritage, civic responsibilities and to make informed decisions</w:t>
      </w:r>
      <w:r w:rsidR="00F140F0">
        <w:rPr>
          <w:highlight w:val="white"/>
          <w:lang w:eastAsia="zh-CN" w:bidi="th-TH"/>
        </w:rPr>
        <w:t xml:space="preserve"> (</w:t>
      </w:r>
      <w:r w:rsidR="00385A75" w:rsidRPr="00CE6B92">
        <w:rPr>
          <w:rFonts w:ascii="Aptos" w:eastAsia="Aptos" w:hAnsi="Aptos" w:cs="Aptos"/>
          <w:szCs w:val="28"/>
          <w:lang w:val="en-GB" w:eastAsia="zh-CN" w:bidi="th-TH"/>
        </w:rPr>
        <w:t>De Paor and Heravi 2020</w:t>
      </w:r>
      <w:r w:rsidR="00385A75">
        <w:rPr>
          <w:rFonts w:ascii="Aptos" w:eastAsia="Aptos" w:hAnsi="Aptos" w:cs="Aptos"/>
          <w:szCs w:val="28"/>
          <w:lang w:val="en-GB" w:eastAsia="zh-CN" w:bidi="th-TH"/>
        </w:rPr>
        <w:t xml:space="preserve">; </w:t>
      </w:r>
      <w:r w:rsidR="00672D21" w:rsidRPr="00CE6B92">
        <w:rPr>
          <w:rFonts w:ascii="Aptos" w:eastAsia="Aptos" w:hAnsi="Aptos" w:cs="Aptos"/>
          <w:szCs w:val="28"/>
          <w:lang w:val="en-GB" w:eastAsia="zh-CN" w:bidi="th-TH"/>
        </w:rPr>
        <w:t>Senate Legal and Constitutional Affairs References Committee 2021</w:t>
      </w:r>
      <w:r w:rsidR="00672D21">
        <w:rPr>
          <w:rFonts w:ascii="Aptos" w:eastAsia="Aptos" w:hAnsi="Aptos" w:cs="Aptos"/>
          <w:szCs w:val="28"/>
          <w:lang w:val="en-GB" w:eastAsia="zh-CN" w:bidi="th-TH"/>
        </w:rPr>
        <w:t xml:space="preserve">; </w:t>
      </w:r>
      <w:r w:rsidR="00672D21" w:rsidRPr="00CE6B92">
        <w:rPr>
          <w:rFonts w:ascii="Aptos" w:eastAsia="Aptos" w:hAnsi="Aptos" w:cs="Aptos"/>
          <w:szCs w:val="28"/>
          <w:lang w:val="en-GB" w:eastAsia="zh-CN" w:bidi="th-TH"/>
        </w:rPr>
        <w:t>Strengthening Democracy Taskforce 2024</w:t>
      </w:r>
      <w:r w:rsidR="00F140F0">
        <w:rPr>
          <w:highlight w:val="white"/>
          <w:lang w:eastAsia="zh-CN" w:bidi="th-TH"/>
        </w:rPr>
        <w:t>).</w:t>
      </w:r>
    </w:p>
    <w:p w14:paraId="797BF5DC" w14:textId="77777777" w:rsidR="00CD32CB" w:rsidRDefault="00CE6B92" w:rsidP="001B7F4E">
      <w:pPr>
        <w:rPr>
          <w:lang w:val="en-GB" w:eastAsia="zh-CN" w:bidi="th-TH"/>
        </w:rPr>
      </w:pPr>
      <w:r w:rsidRPr="00CE6B92">
        <w:rPr>
          <w:lang w:val="en-GB" w:eastAsia="zh-CN" w:bidi="th-TH"/>
        </w:rPr>
        <w:t>Digitisation is an important aspect of maintaining accessible collections</w:t>
      </w:r>
      <w:r w:rsidR="00F140F0">
        <w:rPr>
          <w:lang w:val="en-GB" w:eastAsia="zh-CN" w:bidi="th-TH"/>
        </w:rPr>
        <w:t xml:space="preserve"> (</w:t>
      </w:r>
      <w:r w:rsidR="00134121" w:rsidRPr="00CE6B92">
        <w:rPr>
          <w:rFonts w:ascii="Aptos" w:eastAsia="Aptos" w:hAnsi="Aptos" w:cs="Aptos"/>
          <w:szCs w:val="28"/>
          <w:lang w:val="en-GB" w:eastAsia="zh-CN" w:bidi="th-TH"/>
        </w:rPr>
        <w:t>Cole and Lott</w:t>
      </w:r>
      <w:r w:rsidR="00134121">
        <w:rPr>
          <w:rFonts w:ascii="Aptos" w:eastAsia="Aptos" w:hAnsi="Aptos" w:cs="Aptos"/>
          <w:szCs w:val="28"/>
          <w:lang w:val="en-GB" w:eastAsia="zh-CN" w:bidi="th-TH"/>
        </w:rPr>
        <w:t xml:space="preserve"> </w:t>
      </w:r>
      <w:r w:rsidR="00134121" w:rsidRPr="00CE6B92">
        <w:rPr>
          <w:rFonts w:ascii="Aptos" w:eastAsia="Aptos" w:hAnsi="Aptos" w:cs="Aptos"/>
          <w:szCs w:val="28"/>
          <w:lang w:val="en-GB" w:eastAsia="zh-CN" w:bidi="th-TH"/>
        </w:rPr>
        <w:t>2019</w:t>
      </w:r>
      <w:r w:rsidR="00F140F0">
        <w:rPr>
          <w:lang w:val="en-GB" w:eastAsia="zh-CN" w:bidi="th-TH"/>
        </w:rPr>
        <w:t>).</w:t>
      </w:r>
      <w:r w:rsidR="00CD32CB">
        <w:rPr>
          <w:lang w:val="en-GB" w:eastAsia="zh-CN" w:bidi="th-TH"/>
        </w:rPr>
        <w:t xml:space="preserve"> </w:t>
      </w:r>
      <w:r w:rsidRPr="00CE6B92">
        <w:rPr>
          <w:lang w:val="en-GB" w:eastAsia="zh-CN" w:bidi="th-TH"/>
        </w:rPr>
        <w:t>An example of digitally</w:t>
      </w:r>
      <w:r w:rsidR="001404FB">
        <w:rPr>
          <w:lang w:val="en-GB" w:eastAsia="zh-CN" w:bidi="th-TH"/>
        </w:rPr>
        <w:noBreakHyphen/>
      </w:r>
      <w:r w:rsidRPr="00CE6B92">
        <w:rPr>
          <w:lang w:val="en-GB" w:eastAsia="zh-CN" w:bidi="th-TH"/>
        </w:rPr>
        <w:t>enabled access to cultural collections is the NLA’s Trove, which draws together material from different collections and provides free, full</w:t>
      </w:r>
      <w:r w:rsidR="001404FB">
        <w:rPr>
          <w:lang w:val="en-GB" w:eastAsia="zh-CN" w:bidi="th-TH"/>
        </w:rPr>
        <w:noBreakHyphen/>
      </w:r>
      <w:r w:rsidRPr="00CE6B92">
        <w:rPr>
          <w:lang w:val="en-GB" w:eastAsia="zh-CN" w:bidi="th-TH"/>
        </w:rPr>
        <w:t xml:space="preserve">text digitised content. Trove and other such programs are used by researchers, students and the broader community </w:t>
      </w:r>
      <w:r w:rsidR="00134121">
        <w:rPr>
          <w:lang w:val="en-GB" w:eastAsia="zh-CN" w:bidi="th-TH"/>
        </w:rPr>
        <w:t>(</w:t>
      </w:r>
      <w:r w:rsidR="00134121" w:rsidRPr="00CE6B92">
        <w:rPr>
          <w:rFonts w:ascii="Aptos" w:eastAsia="Aptos" w:hAnsi="Aptos" w:cs="Aptos"/>
          <w:szCs w:val="28"/>
          <w:lang w:val="en-GB" w:eastAsia="zh-CN" w:bidi="th-TH"/>
        </w:rPr>
        <w:t>Cole and Lott</w:t>
      </w:r>
      <w:r w:rsidR="00134121">
        <w:rPr>
          <w:rFonts w:ascii="Aptos" w:eastAsia="Aptos" w:hAnsi="Aptos" w:cs="Aptos"/>
          <w:szCs w:val="28"/>
          <w:lang w:val="en-GB" w:eastAsia="zh-CN" w:bidi="th-TH"/>
        </w:rPr>
        <w:t xml:space="preserve"> </w:t>
      </w:r>
      <w:r w:rsidR="00134121" w:rsidRPr="00CE6B92">
        <w:rPr>
          <w:rFonts w:ascii="Aptos" w:eastAsia="Aptos" w:hAnsi="Aptos" w:cs="Aptos"/>
          <w:szCs w:val="28"/>
          <w:lang w:val="en-GB" w:eastAsia="zh-CN" w:bidi="th-TH"/>
        </w:rPr>
        <w:t>2019</w:t>
      </w:r>
      <w:r w:rsidR="00134121">
        <w:rPr>
          <w:rFonts w:ascii="Aptos" w:eastAsia="Aptos" w:hAnsi="Aptos" w:cs="Aptos"/>
          <w:szCs w:val="28"/>
          <w:lang w:val="en-GB" w:eastAsia="zh-CN" w:bidi="th-TH"/>
        </w:rPr>
        <w:t xml:space="preserve">; </w:t>
      </w:r>
      <w:r w:rsidR="00134121" w:rsidRPr="00CE6B92">
        <w:rPr>
          <w:rFonts w:ascii="Aptos" w:eastAsia="Aptos" w:hAnsi="Aptos" w:cs="Aptos"/>
          <w:szCs w:val="28"/>
          <w:lang w:val="en-GB" w:eastAsia="zh-CN" w:bidi="th-TH"/>
        </w:rPr>
        <w:t>Sherratt 2021</w:t>
      </w:r>
      <w:r w:rsidR="00134121">
        <w:rPr>
          <w:lang w:val="en-GB" w:eastAsia="zh-CN" w:bidi="th-TH"/>
        </w:rPr>
        <w:t>)</w:t>
      </w:r>
      <w:r w:rsidR="00CD32CB">
        <w:rPr>
          <w:lang w:val="en-GB" w:eastAsia="zh-CN" w:bidi="th-TH"/>
        </w:rPr>
        <w:t xml:space="preserve"> </w:t>
      </w:r>
      <w:r w:rsidRPr="00CE6B92">
        <w:rPr>
          <w:lang w:val="en-GB" w:eastAsia="zh-CN" w:bidi="th-TH"/>
        </w:rPr>
        <w:t>and have been particularly beneficial in enabling access for regional and remote Australians and people with disability</w:t>
      </w:r>
      <w:r w:rsidR="00F140F0">
        <w:rPr>
          <w:lang w:val="en-GB" w:eastAsia="zh-CN" w:bidi="th-TH"/>
        </w:rPr>
        <w:t xml:space="preserve"> (</w:t>
      </w:r>
      <w:r w:rsidR="00134121" w:rsidRPr="00CE6B92">
        <w:rPr>
          <w:rFonts w:ascii="Aptos" w:eastAsia="Aptos" w:hAnsi="Aptos" w:cs="Aptos"/>
          <w:szCs w:val="28"/>
          <w:lang w:val="en-GB" w:eastAsia="zh-CN" w:bidi="th-TH"/>
        </w:rPr>
        <w:t>Piko and Brett 2021</w:t>
      </w:r>
      <w:r w:rsidR="00F140F0">
        <w:rPr>
          <w:lang w:val="en-GB" w:eastAsia="zh-CN" w:bidi="th-TH"/>
        </w:rPr>
        <w:t>).</w:t>
      </w:r>
      <w:r w:rsidR="00CD32CB">
        <w:rPr>
          <w:lang w:val="en-GB" w:eastAsia="zh-CN" w:bidi="th-TH"/>
        </w:rPr>
        <w:t xml:space="preserve"> </w:t>
      </w:r>
      <w:r w:rsidRPr="00CE6B92">
        <w:rPr>
          <w:lang w:val="en-GB" w:eastAsia="zh-CN" w:bidi="th-TH"/>
        </w:rPr>
        <w:t>Digitisation is inconsistent across the sector, with libraries and archives comparatively well</w:t>
      </w:r>
      <w:r w:rsidR="001404FB">
        <w:rPr>
          <w:lang w:val="en-GB" w:eastAsia="zh-CN" w:bidi="th-TH"/>
        </w:rPr>
        <w:noBreakHyphen/>
      </w:r>
      <w:r w:rsidRPr="00CE6B92">
        <w:rPr>
          <w:lang w:val="en-GB" w:eastAsia="zh-CN" w:bidi="th-TH"/>
        </w:rPr>
        <w:t>funded to digitise collections, but smaller institutions and community organisations often unable to do so. It has been suggested that a coordinated national effort to build digital collections infrastructure is needed to ensure usability and equitable access</w:t>
      </w:r>
      <w:r w:rsidR="00F140F0">
        <w:rPr>
          <w:lang w:val="en-GB" w:eastAsia="zh-CN" w:bidi="th-TH"/>
        </w:rPr>
        <w:t xml:space="preserve"> (</w:t>
      </w:r>
      <w:r w:rsidR="001641E0" w:rsidRPr="00CE6B92">
        <w:rPr>
          <w:rFonts w:ascii="Aptos" w:eastAsia="Aptos" w:hAnsi="Aptos" w:cs="Aptos"/>
          <w:szCs w:val="28"/>
          <w:lang w:val="en-GB" w:eastAsia="zh-CN" w:bidi="th-TH"/>
        </w:rPr>
        <w:t>Senate Legal and Constitutional Affairs References Committee 2021</w:t>
      </w:r>
      <w:r w:rsidR="00F140F0">
        <w:rPr>
          <w:lang w:val="en-GB" w:eastAsia="zh-CN" w:bidi="th-TH"/>
        </w:rPr>
        <w:t>).</w:t>
      </w:r>
    </w:p>
    <w:p w14:paraId="79304B55" w14:textId="6F684924" w:rsidR="00CD32CB" w:rsidRDefault="00CE6B92" w:rsidP="001B7F4E">
      <w:pPr>
        <w:rPr>
          <w:highlight w:val="white"/>
          <w:lang w:val="en-GB" w:eastAsia="zh-CN" w:bidi="th-TH"/>
        </w:rPr>
      </w:pPr>
      <w:r w:rsidRPr="00CE6B92">
        <w:rPr>
          <w:lang w:val="en-GB" w:eastAsia="zh-CN" w:bidi="th-TH"/>
        </w:rPr>
        <w:t>D</w:t>
      </w:r>
      <w:r w:rsidRPr="00CE6B92">
        <w:rPr>
          <w:highlight w:val="white"/>
          <w:lang w:val="en-GB" w:eastAsia="zh-CN" w:bidi="th-TH"/>
        </w:rPr>
        <w:t>igitally</w:t>
      </w:r>
      <w:r w:rsidR="001404FB">
        <w:rPr>
          <w:highlight w:val="white"/>
          <w:lang w:val="en-GB" w:eastAsia="zh-CN" w:bidi="th-TH"/>
        </w:rPr>
        <w:noBreakHyphen/>
      </w:r>
      <w:r w:rsidRPr="00CE6B92">
        <w:rPr>
          <w:highlight w:val="white"/>
          <w:lang w:val="en-GB" w:eastAsia="zh-CN" w:bidi="th-TH"/>
        </w:rPr>
        <w:t>enabled crowdsourcing is a popular participatory practice, with public involvement in the management and analysis of cultural collections by volunteers who undertake tasks such as transcription, text validation and classification. Trove utilises crowdsourcing for text corrections, with some 3000 volunteers contributing to 3.5</w:t>
      </w:r>
      <w:r w:rsidR="008702A4">
        <w:rPr>
          <w:highlight w:val="white"/>
          <w:lang w:val="en-GB" w:eastAsia="zh-CN" w:bidi="th-TH"/>
        </w:rPr>
        <w:t> </w:t>
      </w:r>
      <w:r w:rsidRPr="00CE6B92">
        <w:rPr>
          <w:highlight w:val="white"/>
          <w:lang w:val="en-GB" w:eastAsia="zh-CN" w:bidi="th-TH"/>
        </w:rPr>
        <w:t>million lines of text corrections every month</w:t>
      </w:r>
      <w:r w:rsidR="001641E0">
        <w:rPr>
          <w:highlight w:val="white"/>
          <w:lang w:val="en-GB" w:eastAsia="zh-CN" w:bidi="th-TH"/>
        </w:rPr>
        <w:t xml:space="preserve"> (</w:t>
      </w:r>
      <w:r w:rsidR="008C606F">
        <w:rPr>
          <w:rFonts w:ascii="Aptos" w:eastAsia="Aptos" w:hAnsi="Aptos" w:cs="Aptos"/>
          <w:szCs w:val="28"/>
          <w:lang w:val="en-GB" w:eastAsia="zh-CN" w:bidi="th-TH"/>
        </w:rPr>
        <w:t>NLA</w:t>
      </w:r>
      <w:r w:rsidR="001641E0">
        <w:rPr>
          <w:rFonts w:ascii="Aptos" w:eastAsia="Aptos" w:hAnsi="Aptos" w:cs="Aptos"/>
          <w:szCs w:val="28"/>
          <w:lang w:val="en-GB" w:eastAsia="zh-CN" w:bidi="th-TH"/>
        </w:rPr>
        <w:t xml:space="preserve"> </w:t>
      </w:r>
      <w:r w:rsidR="001641E0" w:rsidRPr="00CE6B92">
        <w:rPr>
          <w:rFonts w:ascii="Aptos" w:eastAsia="Aptos" w:hAnsi="Aptos" w:cs="Aptos"/>
          <w:szCs w:val="28"/>
          <w:lang w:val="en-GB" w:eastAsia="zh-CN" w:bidi="th-TH"/>
        </w:rPr>
        <w:t>2022</w:t>
      </w:r>
      <w:r w:rsidR="001641E0">
        <w:rPr>
          <w:rFonts w:ascii="Aptos" w:eastAsia="Aptos" w:hAnsi="Aptos" w:cs="Aptos"/>
          <w:szCs w:val="28"/>
          <w:lang w:val="en-GB" w:eastAsia="zh-CN" w:bidi="th-TH"/>
        </w:rPr>
        <w:t>)</w:t>
      </w:r>
      <w:r w:rsidRPr="00CE6B92">
        <w:rPr>
          <w:highlight w:val="white"/>
          <w:lang w:val="en-GB" w:eastAsia="zh-CN" w:bidi="th-TH"/>
        </w:rPr>
        <w:t>,</w:t>
      </w:r>
      <w:r w:rsidR="00CD32CB">
        <w:rPr>
          <w:highlight w:val="white"/>
          <w:lang w:val="en-GB" w:eastAsia="zh-CN" w:bidi="th-TH"/>
        </w:rPr>
        <w:t xml:space="preserve"> </w:t>
      </w:r>
      <w:r w:rsidRPr="00CE6B92">
        <w:rPr>
          <w:highlight w:val="white"/>
          <w:lang w:val="en-GB" w:eastAsia="zh-CN" w:bidi="th-TH"/>
        </w:rPr>
        <w:t>and this community is celebrated in a Trove ‘Hall of Fame’</w:t>
      </w:r>
      <w:r w:rsidR="00F140F0">
        <w:rPr>
          <w:highlight w:val="white"/>
          <w:lang w:val="en-GB" w:eastAsia="zh-CN" w:bidi="th-TH"/>
        </w:rPr>
        <w:t xml:space="preserve"> (</w:t>
      </w:r>
      <w:r w:rsidR="008C606F">
        <w:rPr>
          <w:rFonts w:ascii="Aptos" w:eastAsia="Aptos" w:hAnsi="Aptos" w:cs="Aptos"/>
          <w:szCs w:val="28"/>
          <w:lang w:val="en-GB" w:eastAsia="zh-CN" w:bidi="th-TH"/>
        </w:rPr>
        <w:t>NLA</w:t>
      </w:r>
      <w:r w:rsidR="00FE329C">
        <w:rPr>
          <w:rFonts w:ascii="Aptos" w:eastAsia="Aptos" w:hAnsi="Aptos" w:cs="Aptos"/>
          <w:szCs w:val="28"/>
          <w:lang w:val="en-GB" w:eastAsia="zh-CN" w:bidi="th-TH"/>
        </w:rPr>
        <w:t xml:space="preserve"> </w:t>
      </w:r>
      <w:r w:rsidR="00FE329C" w:rsidRPr="00CE6B92">
        <w:rPr>
          <w:rFonts w:ascii="Aptos" w:eastAsia="Aptos" w:hAnsi="Aptos" w:cs="Aptos"/>
          <w:szCs w:val="28"/>
          <w:lang w:val="en-GB" w:eastAsia="zh-CN" w:bidi="th-TH"/>
        </w:rPr>
        <w:t>202</w:t>
      </w:r>
      <w:r w:rsidR="00FE329C">
        <w:rPr>
          <w:rFonts w:ascii="Aptos" w:eastAsia="Aptos" w:hAnsi="Aptos" w:cs="Aptos"/>
          <w:szCs w:val="28"/>
          <w:lang w:val="en-GB" w:eastAsia="zh-CN" w:bidi="th-TH"/>
        </w:rPr>
        <w:t>4</w:t>
      </w:r>
      <w:r w:rsidR="00F140F0">
        <w:rPr>
          <w:highlight w:val="white"/>
          <w:lang w:val="en-GB" w:eastAsia="zh-CN" w:bidi="th-TH"/>
        </w:rPr>
        <w:t>).</w:t>
      </w:r>
      <w:r w:rsidR="00CD32CB">
        <w:rPr>
          <w:highlight w:val="white"/>
          <w:lang w:val="en-GB" w:eastAsia="zh-CN" w:bidi="th-TH"/>
        </w:rPr>
        <w:t xml:space="preserve"> </w:t>
      </w:r>
      <w:r w:rsidRPr="00CE6B92">
        <w:rPr>
          <w:highlight w:val="white"/>
          <w:lang w:val="en-GB" w:eastAsia="zh-CN" w:bidi="th-TH"/>
        </w:rPr>
        <w:t>International evidence shows crowdsourcing in such contexts allows the public to connect with a collection and be part of a community and shared project</w:t>
      </w:r>
      <w:r w:rsidR="00FE329C">
        <w:rPr>
          <w:highlight w:val="white"/>
          <w:lang w:val="en-GB" w:eastAsia="zh-CN" w:bidi="th-TH"/>
        </w:rPr>
        <w:t xml:space="preserve"> (</w:t>
      </w:r>
      <w:proofErr w:type="spellStart"/>
      <w:r w:rsidR="00FE329C" w:rsidRPr="00CE6B92">
        <w:rPr>
          <w:rFonts w:ascii="Aptos" w:eastAsia="Aptos" w:hAnsi="Aptos" w:cs="Aptos"/>
          <w:szCs w:val="28"/>
          <w:lang w:val="en-GB" w:eastAsia="zh-CN" w:bidi="th-TH"/>
        </w:rPr>
        <w:t>BrodeFrank</w:t>
      </w:r>
      <w:proofErr w:type="spellEnd"/>
      <w:r w:rsidR="00FE329C">
        <w:rPr>
          <w:rFonts w:ascii="Aptos" w:eastAsia="Aptos" w:hAnsi="Aptos" w:cs="Aptos"/>
          <w:szCs w:val="28"/>
          <w:lang w:val="en-GB" w:eastAsia="zh-CN" w:bidi="th-TH"/>
        </w:rPr>
        <w:t xml:space="preserve"> 202</w:t>
      </w:r>
      <w:r w:rsidR="00202CDC">
        <w:rPr>
          <w:rFonts w:ascii="Aptos" w:eastAsia="Aptos" w:hAnsi="Aptos" w:cs="Aptos"/>
          <w:szCs w:val="28"/>
          <w:lang w:val="en-GB" w:eastAsia="zh-CN" w:bidi="th-TH"/>
        </w:rPr>
        <w:t>2</w:t>
      </w:r>
      <w:r w:rsidR="00FE329C">
        <w:rPr>
          <w:rFonts w:ascii="Aptos" w:eastAsia="Aptos" w:hAnsi="Aptos" w:cs="Aptos"/>
          <w:szCs w:val="28"/>
          <w:lang w:val="en-GB" w:eastAsia="zh-CN" w:bidi="th-TH"/>
        </w:rPr>
        <w:t xml:space="preserve">; </w:t>
      </w:r>
      <w:r w:rsidR="00FE329C" w:rsidRPr="00CE6B92">
        <w:rPr>
          <w:rFonts w:ascii="Aptos" w:eastAsia="Aptos" w:hAnsi="Aptos" w:cs="Aptos"/>
          <w:szCs w:val="28"/>
          <w:lang w:val="en-GB" w:eastAsia="zh-CN" w:bidi="th-TH"/>
        </w:rPr>
        <w:t>Ridge</w:t>
      </w:r>
      <w:r w:rsidR="00FE329C">
        <w:rPr>
          <w:rFonts w:ascii="Aptos" w:eastAsia="Aptos" w:hAnsi="Aptos" w:cs="Aptos"/>
          <w:szCs w:val="28"/>
          <w:lang w:val="en-GB" w:eastAsia="zh-CN" w:bidi="th-TH"/>
        </w:rPr>
        <w:t xml:space="preserve"> et al. 2021)</w:t>
      </w:r>
      <w:r w:rsidRPr="00CE6B92">
        <w:rPr>
          <w:highlight w:val="white"/>
          <w:lang w:val="en-GB" w:eastAsia="zh-CN" w:bidi="th-TH"/>
        </w:rPr>
        <w:t>,</w:t>
      </w:r>
      <w:r w:rsidR="00CD32CB">
        <w:rPr>
          <w:highlight w:val="white"/>
          <w:lang w:val="en-GB" w:eastAsia="zh-CN" w:bidi="th-TH"/>
        </w:rPr>
        <w:t xml:space="preserve"> </w:t>
      </w:r>
      <w:r w:rsidRPr="00CE6B92">
        <w:rPr>
          <w:highlight w:val="white"/>
          <w:lang w:val="en-GB" w:eastAsia="zh-CN" w:bidi="th-TH"/>
        </w:rPr>
        <w:t>conceivably building bridging ties in the process. Participatory practice</w:t>
      </w:r>
      <w:r w:rsidRPr="00CE6B92">
        <w:rPr>
          <w:lang w:val="en-GB" w:eastAsia="zh-CN" w:bidi="th-TH"/>
        </w:rPr>
        <w:t xml:space="preserve">s </w:t>
      </w:r>
      <w:r w:rsidRPr="00CE6B92">
        <w:rPr>
          <w:highlight w:val="white"/>
          <w:lang w:val="en-GB" w:eastAsia="zh-CN" w:bidi="th-TH"/>
        </w:rPr>
        <w:t>empower individuals to critically engage with primary materials</w:t>
      </w:r>
      <w:r w:rsidRPr="00CE6B92">
        <w:rPr>
          <w:lang w:val="en-GB" w:eastAsia="zh-CN" w:bidi="th-TH"/>
        </w:rPr>
        <w:t>; this may impart the critical thinking skills to identify bias and limitations</w:t>
      </w:r>
      <w:r w:rsidR="00CD32CB">
        <w:rPr>
          <w:lang w:val="en-GB" w:eastAsia="zh-CN" w:bidi="th-TH"/>
        </w:rPr>
        <w:t xml:space="preserve"> </w:t>
      </w:r>
      <w:r w:rsidRPr="00CE6B92">
        <w:rPr>
          <w:lang w:val="en-GB" w:eastAsia="zh-CN" w:bidi="th-TH"/>
        </w:rPr>
        <w:t xml:space="preserve">when citizens in contact with </w:t>
      </w:r>
      <w:r w:rsidR="001B7F4E">
        <w:rPr>
          <w:lang w:val="en-GB" w:eastAsia="zh-CN" w:bidi="th-TH"/>
        </w:rPr>
        <w:t>mis</w:t>
      </w:r>
      <w:r w:rsidR="00EA5229">
        <w:rPr>
          <w:lang w:val="en-GB" w:eastAsia="zh-CN" w:bidi="th-TH"/>
        </w:rPr>
        <w:t>-</w:t>
      </w:r>
      <w:r w:rsidR="00C827E0">
        <w:rPr>
          <w:lang w:val="en-GB" w:eastAsia="zh-CN" w:bidi="th-TH"/>
        </w:rPr>
        <w:t xml:space="preserve"> </w:t>
      </w:r>
      <w:r w:rsidR="001B7F4E">
        <w:rPr>
          <w:lang w:val="en-GB" w:eastAsia="zh-CN" w:bidi="th-TH"/>
        </w:rPr>
        <w:t>and disinformation</w:t>
      </w:r>
      <w:r w:rsidR="00F140F0">
        <w:rPr>
          <w:highlight w:val="white"/>
          <w:lang w:val="en-GB" w:eastAsia="zh-CN" w:bidi="th-TH"/>
        </w:rPr>
        <w:t xml:space="preserve"> (</w:t>
      </w:r>
      <w:proofErr w:type="spellStart"/>
      <w:r w:rsidR="00EA4E05" w:rsidRPr="00CE6B92">
        <w:rPr>
          <w:rFonts w:ascii="Aptos" w:eastAsia="Aptos" w:hAnsi="Aptos" w:cs="Aptos"/>
          <w:szCs w:val="28"/>
          <w:lang w:val="en-GB" w:eastAsia="zh-CN" w:bidi="th-TH"/>
        </w:rPr>
        <w:t>BrodeFrank</w:t>
      </w:r>
      <w:proofErr w:type="spellEnd"/>
      <w:r w:rsidR="00EA4E05">
        <w:rPr>
          <w:rFonts w:ascii="Aptos" w:eastAsia="Aptos" w:hAnsi="Aptos" w:cs="Aptos"/>
          <w:szCs w:val="28"/>
          <w:lang w:val="en-GB" w:eastAsia="zh-CN" w:bidi="th-TH"/>
        </w:rPr>
        <w:t xml:space="preserve"> 202</w:t>
      </w:r>
      <w:r w:rsidR="00202CDC">
        <w:rPr>
          <w:rFonts w:ascii="Aptos" w:eastAsia="Aptos" w:hAnsi="Aptos" w:cs="Aptos"/>
          <w:szCs w:val="28"/>
          <w:lang w:val="en-GB" w:eastAsia="zh-CN" w:bidi="th-TH"/>
        </w:rPr>
        <w:t>2</w:t>
      </w:r>
      <w:r w:rsidR="00EA4E05">
        <w:rPr>
          <w:rFonts w:ascii="Aptos" w:eastAsia="Aptos" w:hAnsi="Aptos" w:cs="Aptos"/>
          <w:szCs w:val="28"/>
          <w:lang w:val="en-GB" w:eastAsia="zh-CN" w:bidi="th-TH"/>
        </w:rPr>
        <w:t xml:space="preserve">; </w:t>
      </w:r>
      <w:r w:rsidR="00EA4E05" w:rsidRPr="00CE6B92">
        <w:rPr>
          <w:rFonts w:ascii="Aptos" w:eastAsia="Aptos" w:hAnsi="Aptos" w:cs="Aptos"/>
          <w:szCs w:val="28"/>
          <w:lang w:val="en-GB" w:eastAsia="zh-CN" w:bidi="th-TH"/>
        </w:rPr>
        <w:t>Putnam 2016</w:t>
      </w:r>
      <w:r w:rsidR="00EA4E05">
        <w:rPr>
          <w:rFonts w:ascii="Aptos" w:eastAsia="Aptos" w:hAnsi="Aptos" w:cs="Aptos"/>
          <w:szCs w:val="28"/>
          <w:lang w:val="en-GB" w:eastAsia="zh-CN" w:bidi="th-TH"/>
        </w:rPr>
        <w:t xml:space="preserve">; </w:t>
      </w:r>
      <w:r w:rsidR="00C6662D" w:rsidRPr="00CE6B92">
        <w:rPr>
          <w:rFonts w:ascii="Aptos" w:eastAsia="Aptos" w:hAnsi="Aptos" w:cs="Aptos"/>
          <w:szCs w:val="28"/>
          <w:lang w:val="en-GB" w:eastAsia="zh-CN" w:bidi="th-TH"/>
        </w:rPr>
        <w:t>Swain</w:t>
      </w:r>
      <w:r w:rsidR="00C6662D">
        <w:rPr>
          <w:rFonts w:ascii="Aptos" w:eastAsia="Aptos" w:hAnsi="Aptos" w:cs="Aptos"/>
          <w:szCs w:val="28"/>
          <w:lang w:val="en-GB" w:eastAsia="zh-CN" w:bidi="th-TH"/>
        </w:rPr>
        <w:t xml:space="preserve"> et al. 2021</w:t>
      </w:r>
      <w:r w:rsidR="00F140F0">
        <w:rPr>
          <w:highlight w:val="white"/>
          <w:lang w:val="en-GB" w:eastAsia="zh-CN" w:bidi="th-TH"/>
        </w:rPr>
        <w:t>).</w:t>
      </w:r>
    </w:p>
    <w:p w14:paraId="45878562" w14:textId="3EF14BE6" w:rsidR="00CE6B92" w:rsidRPr="00CE6B92" w:rsidRDefault="00CE6B92" w:rsidP="001B7F4E">
      <w:pPr>
        <w:rPr>
          <w:lang w:val="en-GB" w:eastAsia="zh-CN" w:bidi="th-TH"/>
        </w:rPr>
      </w:pPr>
      <w:r w:rsidRPr="00CE6B92">
        <w:rPr>
          <w:highlight w:val="white"/>
          <w:lang w:val="en-GB" w:eastAsia="zh-CN" w:bidi="th-TH"/>
        </w:rPr>
        <w:t>Participatory practices also disrupt the usual relationship between institutions and communities by centring value co</w:t>
      </w:r>
      <w:r w:rsidR="001404FB">
        <w:rPr>
          <w:highlight w:val="white"/>
          <w:lang w:val="en-GB" w:eastAsia="zh-CN" w:bidi="th-TH"/>
        </w:rPr>
        <w:noBreakHyphen/>
      </w:r>
      <w:r w:rsidRPr="00CE6B92">
        <w:rPr>
          <w:highlight w:val="white"/>
          <w:lang w:val="en-GB" w:eastAsia="zh-CN" w:bidi="th-TH"/>
        </w:rPr>
        <w:t xml:space="preserve">creation and linking ties, which may have reinforcing effects for trust by making a previously </w:t>
      </w:r>
      <w:r w:rsidR="001404FB">
        <w:rPr>
          <w:highlight w:val="white"/>
          <w:lang w:val="en-GB" w:eastAsia="zh-CN" w:bidi="th-TH"/>
        </w:rPr>
        <w:t>‘</w:t>
      </w:r>
      <w:r w:rsidRPr="00CE6B92">
        <w:rPr>
          <w:highlight w:val="white"/>
          <w:lang w:val="en-GB" w:eastAsia="zh-CN" w:bidi="th-TH"/>
        </w:rPr>
        <w:t>opaque back</w:t>
      </w:r>
      <w:r w:rsidR="001404FB">
        <w:rPr>
          <w:highlight w:val="white"/>
          <w:lang w:val="en-GB" w:eastAsia="zh-CN" w:bidi="th-TH"/>
        </w:rPr>
        <w:noBreakHyphen/>
      </w:r>
      <w:r w:rsidRPr="00CE6B92">
        <w:rPr>
          <w:highlight w:val="white"/>
          <w:lang w:val="en-GB" w:eastAsia="zh-CN" w:bidi="th-TH"/>
        </w:rPr>
        <w:t>end process more transparent</w:t>
      </w:r>
      <w:r w:rsidR="005626AD">
        <w:rPr>
          <w:highlight w:val="white"/>
          <w:lang w:val="en-GB" w:eastAsia="zh-CN" w:bidi="th-TH"/>
        </w:rPr>
        <w:t>’</w:t>
      </w:r>
      <w:r w:rsidR="00F140F0">
        <w:rPr>
          <w:highlight w:val="white"/>
          <w:lang w:val="en-GB" w:eastAsia="zh-CN" w:bidi="th-TH"/>
        </w:rPr>
        <w:t xml:space="preserve"> (</w:t>
      </w:r>
      <w:proofErr w:type="spellStart"/>
      <w:r w:rsidR="00C6662D" w:rsidRPr="00CE6B92">
        <w:rPr>
          <w:rFonts w:ascii="Aptos" w:eastAsia="Aptos" w:hAnsi="Aptos" w:cs="Aptos"/>
          <w:szCs w:val="28"/>
          <w:lang w:val="en-GB" w:eastAsia="zh-CN" w:bidi="th-TH"/>
        </w:rPr>
        <w:t>BrodeFrank</w:t>
      </w:r>
      <w:proofErr w:type="spellEnd"/>
      <w:r w:rsidR="00C6662D">
        <w:rPr>
          <w:rFonts w:ascii="Aptos" w:eastAsia="Aptos" w:hAnsi="Aptos" w:cs="Aptos"/>
          <w:szCs w:val="28"/>
          <w:lang w:val="en-GB" w:eastAsia="zh-CN" w:bidi="th-TH"/>
        </w:rPr>
        <w:t xml:space="preserve"> 202</w:t>
      </w:r>
      <w:r w:rsidR="00202CDC">
        <w:rPr>
          <w:rFonts w:ascii="Aptos" w:eastAsia="Aptos" w:hAnsi="Aptos" w:cs="Aptos"/>
          <w:szCs w:val="28"/>
          <w:lang w:val="en-GB" w:eastAsia="zh-CN" w:bidi="th-TH"/>
        </w:rPr>
        <w:t>2</w:t>
      </w:r>
      <w:r w:rsidR="00F140F0">
        <w:rPr>
          <w:highlight w:val="white"/>
          <w:lang w:val="en-GB" w:eastAsia="zh-CN" w:bidi="th-TH"/>
        </w:rPr>
        <w:t>).</w:t>
      </w:r>
      <w:r w:rsidR="00CD32CB">
        <w:rPr>
          <w:highlight w:val="white"/>
          <w:lang w:val="en-GB" w:eastAsia="zh-CN" w:bidi="th-TH"/>
        </w:rPr>
        <w:t xml:space="preserve"> </w:t>
      </w:r>
      <w:r w:rsidRPr="00CE6B92">
        <w:rPr>
          <w:highlight w:val="white"/>
          <w:lang w:val="en-GB" w:eastAsia="zh-CN" w:bidi="th-TH"/>
        </w:rPr>
        <w:t>Participatory practices, it must be noted, involve consensus</w:t>
      </w:r>
      <w:r w:rsidR="001404FB">
        <w:rPr>
          <w:highlight w:val="white"/>
          <w:lang w:val="en-GB" w:eastAsia="zh-CN" w:bidi="th-TH"/>
        </w:rPr>
        <w:noBreakHyphen/>
      </w:r>
      <w:r w:rsidRPr="00CE6B92">
        <w:rPr>
          <w:highlight w:val="white"/>
          <w:lang w:val="en-GB" w:eastAsia="zh-CN" w:bidi="th-TH"/>
        </w:rPr>
        <w:t xml:space="preserve">based </w:t>
      </w:r>
      <w:r w:rsidRPr="00CE6B92">
        <w:rPr>
          <w:highlight w:val="white"/>
          <w:lang w:val="en-GB" w:eastAsia="zh-CN" w:bidi="th-TH"/>
        </w:rPr>
        <w:lastRenderedPageBreak/>
        <w:t>decision</w:t>
      </w:r>
      <w:r w:rsidR="001404FB">
        <w:rPr>
          <w:highlight w:val="white"/>
          <w:lang w:val="en-GB" w:eastAsia="zh-CN" w:bidi="th-TH"/>
        </w:rPr>
        <w:noBreakHyphen/>
      </w:r>
      <w:r w:rsidRPr="00CE6B92">
        <w:rPr>
          <w:highlight w:val="white"/>
          <w:lang w:val="en-GB" w:eastAsia="zh-CN" w:bidi="th-TH"/>
        </w:rPr>
        <w:t xml:space="preserve">making, and this can promote division and may </w:t>
      </w:r>
      <w:r w:rsidRPr="00CE6B92">
        <w:rPr>
          <w:highlight w:val="white"/>
          <w:lang w:eastAsia="zh-CN" w:bidi="th-TH"/>
        </w:rPr>
        <w:t>be challenging for an institution to navigate</w:t>
      </w:r>
      <w:r w:rsidR="00C6662D">
        <w:rPr>
          <w:highlight w:val="white"/>
          <w:lang w:eastAsia="zh-CN" w:bidi="th-TH"/>
        </w:rPr>
        <w:t xml:space="preserve"> (</w:t>
      </w:r>
      <w:r w:rsidR="00C6662D" w:rsidRPr="00CE6B92">
        <w:rPr>
          <w:rFonts w:ascii="Aptos" w:eastAsia="Aptos" w:hAnsi="Aptos" w:cs="Aptos"/>
          <w:szCs w:val="28"/>
          <w:lang w:val="en-GB" w:eastAsia="zh-CN" w:bidi="th-TH"/>
        </w:rPr>
        <w:t>Ridge</w:t>
      </w:r>
      <w:r w:rsidR="00C6662D">
        <w:rPr>
          <w:rFonts w:ascii="Aptos" w:eastAsia="Aptos" w:hAnsi="Aptos" w:cs="Aptos"/>
          <w:szCs w:val="28"/>
          <w:lang w:val="en-GB" w:eastAsia="zh-CN" w:bidi="th-TH"/>
        </w:rPr>
        <w:t xml:space="preserve"> et al. 2021)</w:t>
      </w:r>
      <w:r w:rsidRPr="00CE6B92">
        <w:rPr>
          <w:highlight w:val="white"/>
          <w:lang w:eastAsia="zh-CN" w:bidi="th-TH"/>
        </w:rPr>
        <w:t>,</w:t>
      </w:r>
      <w:r w:rsidR="00CD32CB">
        <w:rPr>
          <w:highlight w:val="white"/>
          <w:lang w:eastAsia="zh-CN" w:bidi="th-TH"/>
        </w:rPr>
        <w:t xml:space="preserve"> </w:t>
      </w:r>
      <w:r w:rsidRPr="00CE6B92">
        <w:rPr>
          <w:highlight w:val="white"/>
          <w:lang w:val="en-GB" w:eastAsia="zh-CN" w:bidi="th-TH"/>
        </w:rPr>
        <w:t>particularly if topics are polarising.</w:t>
      </w:r>
    </w:p>
    <w:p w14:paraId="7B14E11B" w14:textId="696A5A91" w:rsidR="00CE6B92" w:rsidRPr="00CE6B92" w:rsidRDefault="00CE6B92" w:rsidP="00057DF3">
      <w:pPr>
        <w:pStyle w:val="Heading3Numbered"/>
        <w:rPr>
          <w:highlight w:val="white"/>
          <w:lang w:val="en-GB" w:eastAsia="zh-CN" w:bidi="th-TH"/>
        </w:rPr>
      </w:pPr>
      <w:bookmarkStart w:id="40" w:name="_Toc218517321"/>
      <w:r w:rsidRPr="00CE6B92">
        <w:rPr>
          <w:highlight w:val="white"/>
          <w:lang w:val="en-GB" w:eastAsia="zh-CN" w:bidi="th-TH"/>
        </w:rPr>
        <w:t>Leveraging trust and social capital to deliver mis</w:t>
      </w:r>
      <w:r w:rsidR="0043673C">
        <w:rPr>
          <w:highlight w:val="white"/>
          <w:lang w:val="en-GB" w:eastAsia="zh-CN" w:bidi="th-TH"/>
        </w:rPr>
        <w:t>- </w:t>
      </w:r>
      <w:r w:rsidR="001B7F4E">
        <w:rPr>
          <w:highlight w:val="white"/>
          <w:lang w:val="en-GB" w:eastAsia="zh-CN" w:bidi="th-TH"/>
        </w:rPr>
        <w:t>and</w:t>
      </w:r>
      <w:r w:rsidR="0043673C">
        <w:rPr>
          <w:highlight w:val="white"/>
          <w:lang w:val="en-GB" w:eastAsia="zh-CN" w:bidi="th-TH"/>
        </w:rPr>
        <w:t> </w:t>
      </w:r>
      <w:r w:rsidRPr="00CE6B92">
        <w:rPr>
          <w:highlight w:val="white"/>
          <w:lang w:val="en-GB" w:eastAsia="zh-CN" w:bidi="th-TH"/>
        </w:rPr>
        <w:t>disinformation</w:t>
      </w:r>
      <w:r w:rsidR="0043673C">
        <w:rPr>
          <w:highlight w:val="white"/>
          <w:lang w:val="en-GB" w:eastAsia="zh-CN" w:bidi="th-TH"/>
        </w:rPr>
        <w:t> </w:t>
      </w:r>
      <w:r w:rsidRPr="00CE6B92">
        <w:rPr>
          <w:highlight w:val="white"/>
          <w:lang w:val="en-GB" w:eastAsia="zh-CN" w:bidi="th-TH"/>
        </w:rPr>
        <w:t>interventions</w:t>
      </w:r>
      <w:bookmarkEnd w:id="40"/>
      <w:r w:rsidRPr="00CE6B92">
        <w:rPr>
          <w:highlight w:val="white"/>
          <w:lang w:val="en-GB" w:eastAsia="zh-CN" w:bidi="th-TH"/>
        </w:rPr>
        <w:t xml:space="preserve"> </w:t>
      </w:r>
    </w:p>
    <w:p w14:paraId="0CD6AD6A" w14:textId="685F8345" w:rsidR="00057DF3" w:rsidRDefault="00CE6B92" w:rsidP="00057DF3">
      <w:pPr>
        <w:pStyle w:val="Quote"/>
        <w:rPr>
          <w:highlight w:val="white"/>
        </w:rPr>
      </w:pPr>
      <w:r w:rsidRPr="00057DF3">
        <w:rPr>
          <w:highlight w:val="white"/>
        </w:rPr>
        <w:t>There is an opportunity to leverage the social capital, reach and existing public literacy function of cultural and community institutions to deliver</w:t>
      </w:r>
      <w:r w:rsidR="00EA5229">
        <w:rPr>
          <w:highlight w:val="white"/>
        </w:rPr>
        <w:t xml:space="preserve"> mis- </w:t>
      </w:r>
      <w:r w:rsidR="001B7F4E" w:rsidRPr="00057DF3">
        <w:rPr>
          <w:highlight w:val="white"/>
        </w:rPr>
        <w:t>and disinformation</w:t>
      </w:r>
      <w:r w:rsidRPr="00057DF3">
        <w:rPr>
          <w:highlight w:val="white"/>
        </w:rPr>
        <w:t xml:space="preserve"> interventions at scale. </w:t>
      </w:r>
    </w:p>
    <w:p w14:paraId="0ED3D456" w14:textId="4C1FFDD5" w:rsidR="00057DF3" w:rsidRDefault="00CE6B92" w:rsidP="00057DF3">
      <w:r w:rsidRPr="00057DF3">
        <w:rPr>
          <w:highlight w:val="white"/>
        </w:rPr>
        <w:t>Further work is needed to verify the effectiveness of different interventions and test</w:t>
      </w:r>
      <w:r w:rsidRPr="00057DF3">
        <w:t xml:space="preserve"> who</w:t>
      </w:r>
      <w:r w:rsidR="008702A4">
        <w:t> </w:t>
      </w:r>
      <w:r w:rsidRPr="00057DF3">
        <w:t>is best placed to deliver interventions. Key considerations include:</w:t>
      </w:r>
    </w:p>
    <w:p w14:paraId="31E134E8" w14:textId="0D86B80A" w:rsidR="00057DF3" w:rsidRPr="00057DF3" w:rsidRDefault="00EA5229" w:rsidP="00057DF3">
      <w:pPr>
        <w:pStyle w:val="ListParagraph"/>
        <w:rPr>
          <w:highlight w:val="white"/>
        </w:rPr>
      </w:pPr>
      <w:r>
        <w:t>c</w:t>
      </w:r>
      <w:r w:rsidR="00CE6B92" w:rsidRPr="00057DF3">
        <w:t xml:space="preserve">omplementing skills development with awareness raising in ways that are </w:t>
      </w:r>
      <w:r w:rsidR="00CE6B92" w:rsidRPr="00057DF3">
        <w:rPr>
          <w:highlight w:val="white"/>
        </w:rPr>
        <w:t>accessible and appropriate for different cohorts</w:t>
      </w:r>
    </w:p>
    <w:p w14:paraId="1D316A72" w14:textId="39F24227" w:rsidR="00057DF3" w:rsidRPr="00057DF3" w:rsidRDefault="00EA5229" w:rsidP="00057DF3">
      <w:pPr>
        <w:pStyle w:val="ListParagraph"/>
        <w:rPr>
          <w:highlight w:val="white"/>
        </w:rPr>
      </w:pPr>
      <w:r>
        <w:t>i</w:t>
      </w:r>
      <w:r w:rsidR="00CE6B92" w:rsidRPr="00057DF3">
        <w:t>nterventions that target</w:t>
      </w:r>
      <w:r>
        <w:t xml:space="preserve"> mis- </w:t>
      </w:r>
      <w:r w:rsidR="001B7F4E" w:rsidRPr="00057DF3">
        <w:t>and disinformation</w:t>
      </w:r>
      <w:r w:rsidR="00CE6B92" w:rsidRPr="00057DF3">
        <w:t xml:space="preserve"> while ensuring cultural and community institutions maintain a balanced and neutral presentation of polarising</w:t>
      </w:r>
      <w:r w:rsidR="008702A4">
        <w:t> </w:t>
      </w:r>
      <w:r w:rsidR="00CE6B92" w:rsidRPr="00057DF3">
        <w:t>issues</w:t>
      </w:r>
    </w:p>
    <w:p w14:paraId="5B12458D" w14:textId="47EA5015" w:rsidR="00CE6B92" w:rsidRPr="00057DF3" w:rsidRDefault="00EA5229" w:rsidP="00057DF3">
      <w:pPr>
        <w:pStyle w:val="ListParagraph"/>
        <w:rPr>
          <w:highlight w:val="white"/>
        </w:rPr>
      </w:pPr>
      <w:r>
        <w:t>m</w:t>
      </w:r>
      <w:r w:rsidR="00CE6B92" w:rsidRPr="00057DF3">
        <w:t>otivated reasoning and the risks of increasing scepticism among individuals and</w:t>
      </w:r>
      <w:r w:rsidR="008702A4">
        <w:t> </w:t>
      </w:r>
      <w:r w:rsidR="00CE6B92" w:rsidRPr="00057DF3">
        <w:t xml:space="preserve">groups with low levels of trust and social identification. </w:t>
      </w:r>
    </w:p>
    <w:p w14:paraId="67032862" w14:textId="5054ED6C" w:rsidR="00CE6B92" w:rsidRPr="00CE6B92" w:rsidRDefault="00CE6B92" w:rsidP="001B7F4E">
      <w:pPr>
        <w:rPr>
          <w:lang w:val="en-GB" w:eastAsia="zh-CN" w:bidi="th-TH"/>
        </w:rPr>
      </w:pPr>
      <w:r w:rsidRPr="00CE6B92">
        <w:rPr>
          <w:highlight w:val="white"/>
          <w:lang w:val="en-GB" w:eastAsia="zh-CN" w:bidi="th-TH"/>
        </w:rPr>
        <w:t>Sociology and psychology research identifies a range of factors which influence an individual or group’s susceptibility</w:t>
      </w:r>
      <w:r w:rsidRPr="00CE6B92">
        <w:rPr>
          <w:lang w:val="en-GB" w:eastAsia="zh-CN" w:bidi="th-TH"/>
        </w:rPr>
        <w:t xml:space="preserve"> to </w:t>
      </w:r>
      <w:r w:rsidRPr="00CE6B92">
        <w:rPr>
          <w:highlight w:val="white"/>
          <w:lang w:val="en-GB" w:eastAsia="zh-CN" w:bidi="th-TH"/>
        </w:rPr>
        <w:t>conspiratorial worldviews and</w:t>
      </w:r>
      <w:r w:rsidR="00EA5229">
        <w:rPr>
          <w:highlight w:val="white"/>
          <w:lang w:val="en-GB" w:eastAsia="zh-CN" w:bidi="th-TH"/>
        </w:rPr>
        <w:t xml:space="preserve"> mis- </w:t>
      </w:r>
      <w:r w:rsidR="001B7F4E">
        <w:rPr>
          <w:highlight w:val="white"/>
          <w:lang w:val="en-GB" w:eastAsia="zh-CN" w:bidi="th-TH"/>
        </w:rPr>
        <w:t>and disinformation</w:t>
      </w:r>
      <w:r w:rsidRPr="00CE6B92">
        <w:rPr>
          <w:lang w:val="en-GB" w:eastAsia="zh-CN" w:bidi="th-TH"/>
        </w:rPr>
        <w:t xml:space="preserve">. These include </w:t>
      </w:r>
      <w:r w:rsidRPr="00CE6B92">
        <w:rPr>
          <w:highlight w:val="white"/>
          <w:lang w:val="en-GB" w:eastAsia="zh-CN" w:bidi="th-TH"/>
        </w:rPr>
        <w:t>societal factors such as culture</w:t>
      </w:r>
      <w:r w:rsidR="00C6662D">
        <w:rPr>
          <w:highlight w:val="white"/>
          <w:lang w:val="en-GB" w:eastAsia="zh-CN" w:bidi="th-TH"/>
        </w:rPr>
        <w:t xml:space="preserve"> (</w:t>
      </w:r>
      <w:proofErr w:type="spellStart"/>
      <w:r w:rsidR="00C6662D" w:rsidRPr="00CE6B92">
        <w:rPr>
          <w:rFonts w:ascii="Aptos" w:eastAsia="Aptos" w:hAnsi="Aptos" w:cs="Aptos"/>
          <w:szCs w:val="28"/>
          <w:lang w:val="en-GB" w:eastAsia="zh-CN" w:bidi="th-TH"/>
        </w:rPr>
        <w:t>Jasinskaja</w:t>
      </w:r>
      <w:proofErr w:type="spellEnd"/>
      <w:r w:rsidR="00C6662D" w:rsidRPr="00CE6B92">
        <w:rPr>
          <w:rFonts w:ascii="Aptos" w:eastAsia="Aptos" w:hAnsi="Aptos" w:cs="Aptos"/>
          <w:szCs w:val="28"/>
          <w:lang w:val="en-GB" w:eastAsia="zh-CN" w:bidi="th-TH"/>
        </w:rPr>
        <w:t>-Lahti and Jetten 2019</w:t>
      </w:r>
      <w:r w:rsidR="00C6662D">
        <w:rPr>
          <w:rFonts w:ascii="Aptos" w:eastAsia="Aptos" w:hAnsi="Aptos" w:cs="Aptos"/>
          <w:szCs w:val="28"/>
          <w:lang w:val="en-GB" w:eastAsia="zh-CN" w:bidi="th-TH"/>
        </w:rPr>
        <w:t>)</w:t>
      </w:r>
      <w:r w:rsidR="00CD32CB">
        <w:rPr>
          <w:rFonts w:ascii="Aptos" w:eastAsia="Aptos" w:hAnsi="Aptos" w:cs="Aptos"/>
          <w:szCs w:val="28"/>
          <w:lang w:val="en-GB" w:eastAsia="zh-CN" w:bidi="th-TH"/>
        </w:rPr>
        <w:t xml:space="preserve"> </w:t>
      </w:r>
      <w:r w:rsidRPr="00CE6B92">
        <w:rPr>
          <w:highlight w:val="white"/>
          <w:lang w:val="en-GB" w:eastAsia="zh-CN" w:bidi="th-TH"/>
        </w:rPr>
        <w:t>and socioeconomic status</w:t>
      </w:r>
      <w:r w:rsidR="00C6662D">
        <w:rPr>
          <w:highlight w:val="white"/>
          <w:lang w:val="en-GB" w:eastAsia="zh-CN" w:bidi="th-TH"/>
        </w:rPr>
        <w:t xml:space="preserve"> (</w:t>
      </w:r>
      <w:r w:rsidR="00C6662D" w:rsidRPr="00CE6B92">
        <w:rPr>
          <w:rFonts w:ascii="Aptos" w:eastAsia="Aptos" w:hAnsi="Aptos" w:cs="Aptos"/>
          <w:szCs w:val="28"/>
          <w:lang w:val="en-GB" w:eastAsia="zh-CN" w:bidi="th-TH"/>
        </w:rPr>
        <w:t>Casara</w:t>
      </w:r>
      <w:r w:rsidR="00C6662D">
        <w:rPr>
          <w:rFonts w:ascii="Aptos" w:eastAsia="Aptos" w:hAnsi="Aptos" w:cs="Aptos"/>
          <w:szCs w:val="28"/>
          <w:lang w:val="en-GB" w:eastAsia="zh-CN" w:bidi="th-TH"/>
        </w:rPr>
        <w:t xml:space="preserve"> et al. 2022;</w:t>
      </w:r>
      <w:r w:rsidR="00783B0B">
        <w:rPr>
          <w:rFonts w:ascii="Aptos" w:eastAsia="Aptos" w:hAnsi="Aptos" w:cs="Aptos"/>
          <w:szCs w:val="28"/>
          <w:lang w:val="en-GB" w:eastAsia="zh-CN" w:bidi="th-TH"/>
        </w:rPr>
        <w:t xml:space="preserve"> </w:t>
      </w:r>
      <w:r w:rsidR="00783B0B" w:rsidRPr="00CE6B92">
        <w:rPr>
          <w:rFonts w:ascii="Aptos" w:eastAsia="Aptos" w:hAnsi="Aptos" w:cs="Aptos"/>
          <w:szCs w:val="28"/>
          <w:lang w:val="en-GB" w:eastAsia="zh-CN" w:bidi="th-TH"/>
        </w:rPr>
        <w:t>Hornsey and Fielding 2017</w:t>
      </w:r>
      <w:r w:rsidR="00C6662D">
        <w:rPr>
          <w:rFonts w:ascii="Aptos" w:eastAsia="Aptos" w:hAnsi="Aptos" w:cs="Aptos"/>
          <w:szCs w:val="28"/>
          <w:lang w:val="en-GB" w:eastAsia="zh-CN" w:bidi="th-TH"/>
        </w:rPr>
        <w:t xml:space="preserve">; </w:t>
      </w:r>
      <w:r w:rsidR="00783B0B" w:rsidRPr="00CE6B92">
        <w:rPr>
          <w:rFonts w:ascii="Aptos" w:eastAsia="Aptos" w:hAnsi="Aptos" w:cs="Aptos"/>
          <w:szCs w:val="28"/>
          <w:lang w:val="en-GB" w:eastAsia="zh-CN" w:bidi="th-TH"/>
        </w:rPr>
        <w:t>Hornsey</w:t>
      </w:r>
      <w:r w:rsidR="00783B0B">
        <w:rPr>
          <w:rFonts w:ascii="Aptos" w:eastAsia="Aptos" w:hAnsi="Aptos" w:cs="Aptos"/>
          <w:szCs w:val="28"/>
          <w:lang w:val="en-GB" w:eastAsia="zh-CN" w:bidi="th-TH"/>
        </w:rPr>
        <w:t xml:space="preserve"> et al. </w:t>
      </w:r>
      <w:r w:rsidR="003532A6">
        <w:rPr>
          <w:rFonts w:ascii="Aptos" w:eastAsia="Aptos" w:hAnsi="Aptos" w:cs="Aptos"/>
          <w:szCs w:val="28"/>
          <w:lang w:val="en-GB" w:eastAsia="zh-CN" w:bidi="th-TH"/>
        </w:rPr>
        <w:t>2022)</w:t>
      </w:r>
      <w:r w:rsidRPr="00CE6B92">
        <w:rPr>
          <w:highlight w:val="white"/>
          <w:lang w:val="en-GB" w:eastAsia="zh-CN" w:bidi="th-TH"/>
        </w:rPr>
        <w:t>,</w:t>
      </w:r>
      <w:r w:rsidR="00CD32CB">
        <w:rPr>
          <w:highlight w:val="white"/>
          <w:lang w:val="en-GB" w:eastAsia="zh-CN" w:bidi="th-TH"/>
        </w:rPr>
        <w:t xml:space="preserve"> </w:t>
      </w:r>
      <w:r w:rsidRPr="00CE6B92">
        <w:rPr>
          <w:highlight w:val="white"/>
          <w:lang w:val="en-GB" w:eastAsia="zh-CN" w:bidi="th-TH"/>
        </w:rPr>
        <w:t>real or perceived discrimination, trust</w:t>
      </w:r>
      <w:r w:rsidR="001404FB">
        <w:rPr>
          <w:highlight w:val="white"/>
          <w:lang w:val="en-GB" w:eastAsia="zh-CN" w:bidi="th-TH"/>
        </w:rPr>
        <w:noBreakHyphen/>
      </w:r>
      <w:r w:rsidRPr="00CE6B92">
        <w:rPr>
          <w:highlight w:val="white"/>
          <w:lang w:val="en-GB" w:eastAsia="zh-CN" w:bidi="th-TH"/>
        </w:rPr>
        <w:t>sensitive political realities (e.g.</w:t>
      </w:r>
      <w:r w:rsidR="00EA5229">
        <w:rPr>
          <w:highlight w:val="white"/>
          <w:lang w:val="en-GB" w:eastAsia="zh-CN" w:bidi="th-TH"/>
        </w:rPr>
        <w:t> </w:t>
      </w:r>
      <w:r w:rsidRPr="00CE6B92">
        <w:rPr>
          <w:highlight w:val="white"/>
          <w:lang w:val="en-GB" w:eastAsia="zh-CN" w:bidi="th-TH"/>
        </w:rPr>
        <w:t>corruption, freedom of the press)</w:t>
      </w:r>
      <w:r w:rsidR="003532A6">
        <w:rPr>
          <w:highlight w:val="white"/>
          <w:lang w:val="en-GB" w:eastAsia="zh-CN" w:bidi="th-TH"/>
        </w:rPr>
        <w:t xml:space="preserve"> (</w:t>
      </w:r>
      <w:r w:rsidR="003532A6" w:rsidRPr="00CE6B92">
        <w:rPr>
          <w:rFonts w:ascii="Aptos" w:eastAsia="Aptos" w:hAnsi="Aptos" w:cs="Aptos"/>
          <w:szCs w:val="28"/>
          <w:lang w:val="en-GB" w:eastAsia="zh-CN" w:bidi="th-TH"/>
        </w:rPr>
        <w:t>Nera</w:t>
      </w:r>
      <w:r w:rsidR="003532A6">
        <w:rPr>
          <w:rFonts w:ascii="Aptos" w:eastAsia="Aptos" w:hAnsi="Aptos" w:cs="Aptos"/>
          <w:szCs w:val="28"/>
          <w:lang w:val="en-GB" w:eastAsia="zh-CN" w:bidi="th-TH"/>
        </w:rPr>
        <w:t xml:space="preserve"> et al. 2022)</w:t>
      </w:r>
      <w:r w:rsidR="00CD32CB">
        <w:rPr>
          <w:rFonts w:ascii="Aptos" w:eastAsia="Aptos" w:hAnsi="Aptos" w:cs="Aptos"/>
          <w:szCs w:val="28"/>
          <w:lang w:val="en-GB" w:eastAsia="zh-CN" w:bidi="th-TH"/>
        </w:rPr>
        <w:t xml:space="preserve"> </w:t>
      </w:r>
      <w:r w:rsidRPr="00CE6B92">
        <w:rPr>
          <w:highlight w:val="white"/>
          <w:lang w:val="en-GB" w:eastAsia="zh-CN" w:bidi="th-TH"/>
        </w:rPr>
        <w:t>and an adaptive evolved tendency to be alert to – and protect against – outgroups</w:t>
      </w:r>
      <w:r w:rsidR="00F140F0">
        <w:rPr>
          <w:lang w:val="en-GB" w:eastAsia="zh-CN" w:bidi="th-TH"/>
        </w:rPr>
        <w:t xml:space="preserve"> (</w:t>
      </w:r>
      <w:r w:rsidR="003532A6" w:rsidRPr="00CE6B92">
        <w:rPr>
          <w:rFonts w:ascii="Aptos" w:eastAsia="Aptos" w:hAnsi="Aptos" w:cs="Aptos"/>
          <w:szCs w:val="28"/>
          <w:lang w:val="en-GB" w:eastAsia="zh-CN" w:bidi="th-TH"/>
        </w:rPr>
        <w:t xml:space="preserve">van </w:t>
      </w:r>
      <w:proofErr w:type="spellStart"/>
      <w:r w:rsidR="003532A6" w:rsidRPr="00CE6B92">
        <w:rPr>
          <w:rFonts w:ascii="Aptos" w:eastAsia="Aptos" w:hAnsi="Aptos" w:cs="Aptos"/>
          <w:szCs w:val="28"/>
          <w:lang w:val="en-GB" w:eastAsia="zh-CN" w:bidi="th-TH"/>
        </w:rPr>
        <w:t>Prooijen</w:t>
      </w:r>
      <w:proofErr w:type="spellEnd"/>
      <w:r w:rsidR="003532A6">
        <w:rPr>
          <w:rFonts w:ascii="Aptos" w:eastAsia="Aptos" w:hAnsi="Aptos" w:cs="Aptos"/>
          <w:szCs w:val="28"/>
          <w:lang w:val="en-GB" w:eastAsia="zh-CN" w:bidi="th-TH"/>
        </w:rPr>
        <w:t xml:space="preserve"> </w:t>
      </w:r>
      <w:r w:rsidR="003532A6" w:rsidRPr="00CE6B92">
        <w:rPr>
          <w:rFonts w:ascii="Aptos" w:eastAsia="Aptos" w:hAnsi="Aptos" w:cs="Aptos"/>
          <w:szCs w:val="28"/>
          <w:lang w:val="en-GB" w:eastAsia="zh-CN" w:bidi="th-TH"/>
        </w:rPr>
        <w:t xml:space="preserve">and van </w:t>
      </w:r>
      <w:proofErr w:type="spellStart"/>
      <w:r w:rsidR="003532A6" w:rsidRPr="00CE6B92">
        <w:rPr>
          <w:rFonts w:ascii="Aptos" w:eastAsia="Aptos" w:hAnsi="Aptos" w:cs="Aptos"/>
          <w:szCs w:val="28"/>
          <w:lang w:val="en-GB" w:eastAsia="zh-CN" w:bidi="th-TH"/>
        </w:rPr>
        <w:t>Vugt</w:t>
      </w:r>
      <w:proofErr w:type="spellEnd"/>
      <w:r w:rsidR="003532A6">
        <w:rPr>
          <w:rFonts w:ascii="Aptos" w:eastAsia="Aptos" w:hAnsi="Aptos" w:cs="Aptos"/>
          <w:szCs w:val="28"/>
          <w:lang w:val="en-GB" w:eastAsia="zh-CN" w:bidi="th-TH"/>
        </w:rPr>
        <w:t xml:space="preserve"> </w:t>
      </w:r>
      <w:r w:rsidR="003532A6" w:rsidRPr="00CE6B92">
        <w:rPr>
          <w:rFonts w:ascii="Aptos" w:eastAsia="Aptos" w:hAnsi="Aptos" w:cs="Aptos"/>
          <w:szCs w:val="28"/>
          <w:lang w:val="en-GB" w:eastAsia="zh-CN" w:bidi="th-TH"/>
        </w:rPr>
        <w:t>2018</w:t>
      </w:r>
      <w:r w:rsidR="00F140F0">
        <w:rPr>
          <w:lang w:val="en-GB" w:eastAsia="zh-CN" w:bidi="th-TH"/>
        </w:rPr>
        <w:t>).</w:t>
      </w:r>
      <w:r w:rsidR="00CD32CB">
        <w:rPr>
          <w:lang w:val="en-GB" w:eastAsia="zh-CN" w:bidi="th-TH"/>
        </w:rPr>
        <w:t xml:space="preserve"> </w:t>
      </w:r>
      <w:r w:rsidRPr="00CE6B92">
        <w:rPr>
          <w:lang w:val="en-GB" w:eastAsia="zh-CN" w:bidi="th-TH"/>
        </w:rPr>
        <w:t xml:space="preserve">Some research finds that denial and corrective information alone can </w:t>
      </w:r>
      <w:proofErr w:type="gramStart"/>
      <w:r w:rsidRPr="00CE6B92">
        <w:rPr>
          <w:lang w:val="en-GB" w:eastAsia="zh-CN" w:bidi="th-TH"/>
        </w:rPr>
        <w:t>actually reinforce</w:t>
      </w:r>
      <w:proofErr w:type="gramEnd"/>
      <w:r w:rsidRPr="00CE6B92">
        <w:rPr>
          <w:lang w:val="en-GB" w:eastAsia="zh-CN" w:bidi="th-TH"/>
        </w:rPr>
        <w:t xml:space="preserve"> the original falsehood</w:t>
      </w:r>
      <w:r w:rsidR="00F140F0">
        <w:rPr>
          <w:lang w:val="en-GB" w:eastAsia="zh-CN" w:bidi="th-TH"/>
        </w:rPr>
        <w:t xml:space="preserve"> (</w:t>
      </w:r>
      <w:r w:rsidR="00230605" w:rsidRPr="00CE6B92">
        <w:rPr>
          <w:rFonts w:ascii="Aptos" w:eastAsia="Aptos" w:hAnsi="Aptos" w:cs="Aptos"/>
          <w:szCs w:val="28"/>
          <w:lang w:val="en-GB" w:eastAsia="zh-CN" w:bidi="th-TH"/>
        </w:rPr>
        <w:t>Lewandowsky</w:t>
      </w:r>
      <w:r w:rsidR="00230605">
        <w:rPr>
          <w:rFonts w:ascii="Aptos" w:eastAsia="Aptos" w:hAnsi="Aptos" w:cs="Aptos"/>
          <w:szCs w:val="28"/>
          <w:lang w:val="en-GB" w:eastAsia="zh-CN" w:bidi="th-TH"/>
        </w:rPr>
        <w:t xml:space="preserve"> et al. 2015; </w:t>
      </w:r>
      <w:r w:rsidR="00230605" w:rsidRPr="00CE6B92">
        <w:rPr>
          <w:rFonts w:ascii="Aptos" w:eastAsia="Aptos" w:hAnsi="Aptos" w:cs="Aptos"/>
          <w:szCs w:val="28"/>
          <w:lang w:val="en-GB" w:eastAsia="zh-CN" w:bidi="th-TH"/>
        </w:rPr>
        <w:t xml:space="preserve">Nera </w:t>
      </w:r>
      <w:r w:rsidR="00230605">
        <w:rPr>
          <w:rFonts w:ascii="Aptos" w:eastAsia="Aptos" w:hAnsi="Aptos" w:cs="Aptos"/>
          <w:szCs w:val="28"/>
          <w:lang w:val="en-GB" w:eastAsia="zh-CN" w:bidi="th-TH"/>
        </w:rPr>
        <w:t>et al. 2022</w:t>
      </w:r>
      <w:r w:rsidR="00F140F0">
        <w:rPr>
          <w:lang w:val="en-GB" w:eastAsia="zh-CN" w:bidi="th-TH"/>
        </w:rPr>
        <w:t>).</w:t>
      </w:r>
    </w:p>
    <w:p w14:paraId="7F312298" w14:textId="02E81FD7" w:rsidR="00CE6B92" w:rsidRPr="00CE6B92" w:rsidRDefault="00CE6B92" w:rsidP="001B7F4E">
      <w:pPr>
        <w:rPr>
          <w:lang w:val="en-GB" w:eastAsia="zh-CN" w:bidi="th-TH"/>
        </w:rPr>
      </w:pPr>
      <w:bookmarkStart w:id="41" w:name="_yrjwcko4lhke"/>
      <w:bookmarkEnd w:id="41"/>
      <w:r w:rsidRPr="00CE6B92">
        <w:rPr>
          <w:highlight w:val="white"/>
          <w:lang w:val="en-GB" w:eastAsia="zh-CN" w:bidi="th-TH"/>
        </w:rPr>
        <w:t xml:space="preserve">The evidence on how knowledge is perceived identifies </w:t>
      </w:r>
      <w:r w:rsidR="00EA5229">
        <w:rPr>
          <w:highlight w:val="white"/>
          <w:lang w:val="en-GB" w:eastAsia="zh-CN" w:bidi="th-TH"/>
        </w:rPr>
        <w:t>4</w:t>
      </w:r>
      <w:r w:rsidRPr="00CE6B92">
        <w:rPr>
          <w:highlight w:val="white"/>
          <w:lang w:val="en-GB" w:eastAsia="zh-CN" w:bidi="th-TH"/>
        </w:rPr>
        <w:t xml:space="preserve"> influencing factors:</w:t>
      </w:r>
      <w:r w:rsidRPr="00CE6B92">
        <w:rPr>
          <w:lang w:val="en-GB" w:eastAsia="zh-CN" w:bidi="th-TH"/>
        </w:rPr>
        <w:t xml:space="preserve"> </w:t>
      </w:r>
    </w:p>
    <w:p w14:paraId="1B09301C" w14:textId="6F17C92D" w:rsidR="00CE6B92" w:rsidRPr="00CE6B92" w:rsidRDefault="00EA5229" w:rsidP="001B7F4E">
      <w:pPr>
        <w:pStyle w:val="ListParagraph"/>
        <w:rPr>
          <w:highlight w:val="white"/>
          <w:lang w:val="en-GB" w:eastAsia="zh-CN" w:bidi="th-TH"/>
        </w:rPr>
      </w:pPr>
      <w:r>
        <w:rPr>
          <w:lang w:val="en-GB" w:eastAsia="zh-CN" w:bidi="th-TH"/>
        </w:rPr>
        <w:t>t</w:t>
      </w:r>
      <w:r w:rsidR="00CE6B92" w:rsidRPr="00CE6B92">
        <w:rPr>
          <w:lang w:val="en-GB" w:eastAsia="zh-CN" w:bidi="th-TH"/>
        </w:rPr>
        <w:t>he nature of the knowledge claim</w:t>
      </w:r>
    </w:p>
    <w:p w14:paraId="4A8764A2" w14:textId="20432202" w:rsidR="00CE6B92" w:rsidRPr="00CE6B92" w:rsidRDefault="00EA5229" w:rsidP="001B7F4E">
      <w:pPr>
        <w:pStyle w:val="ListParagraph"/>
        <w:rPr>
          <w:highlight w:val="white"/>
          <w:lang w:val="en-GB" w:eastAsia="zh-CN" w:bidi="th-TH"/>
        </w:rPr>
      </w:pPr>
      <w:r>
        <w:rPr>
          <w:lang w:val="en-GB" w:eastAsia="zh-CN" w:bidi="th-TH"/>
        </w:rPr>
        <w:t>h</w:t>
      </w:r>
      <w:r w:rsidR="00CE6B92" w:rsidRPr="00CE6B92">
        <w:rPr>
          <w:lang w:val="en-GB" w:eastAsia="zh-CN" w:bidi="th-TH"/>
        </w:rPr>
        <w:t>ow it is framed</w:t>
      </w:r>
    </w:p>
    <w:p w14:paraId="472C791C" w14:textId="5FAED6B7" w:rsidR="00CE6B92" w:rsidRPr="00CE6B92" w:rsidRDefault="00EA5229" w:rsidP="001B7F4E">
      <w:pPr>
        <w:pStyle w:val="ListParagraph"/>
        <w:rPr>
          <w:highlight w:val="white"/>
          <w:lang w:val="en-GB" w:eastAsia="zh-CN" w:bidi="th-TH"/>
        </w:rPr>
      </w:pPr>
      <w:r>
        <w:rPr>
          <w:lang w:val="en-GB" w:eastAsia="zh-CN" w:bidi="th-TH"/>
        </w:rPr>
        <w:t>a</w:t>
      </w:r>
      <w:r w:rsidR="00CE6B92" w:rsidRPr="00CE6B92">
        <w:rPr>
          <w:lang w:val="en-GB" w:eastAsia="zh-CN" w:bidi="th-TH"/>
        </w:rPr>
        <w:t>n individual’s social networks</w:t>
      </w:r>
    </w:p>
    <w:p w14:paraId="102F1458" w14:textId="569E680B" w:rsidR="00CE6B92" w:rsidRPr="00CE6B92" w:rsidRDefault="00EA5229" w:rsidP="001B7F4E">
      <w:pPr>
        <w:pStyle w:val="ListParagraph"/>
        <w:rPr>
          <w:highlight w:val="white"/>
          <w:lang w:val="en-GB" w:eastAsia="zh-CN" w:bidi="th-TH"/>
        </w:rPr>
      </w:pPr>
      <w:r>
        <w:rPr>
          <w:lang w:val="en-GB" w:eastAsia="zh-CN" w:bidi="th-TH"/>
        </w:rPr>
        <w:t>w</w:t>
      </w:r>
      <w:r w:rsidR="00CE6B92" w:rsidRPr="00CE6B92">
        <w:rPr>
          <w:lang w:val="en-GB" w:eastAsia="zh-CN" w:bidi="th-TH"/>
        </w:rPr>
        <w:t>ho makes the claim (e.g. their expertise, trust, influence and authority)</w:t>
      </w:r>
      <w:r w:rsidR="00F140F0">
        <w:rPr>
          <w:lang w:val="en-GB" w:eastAsia="zh-CN" w:bidi="th-TH"/>
        </w:rPr>
        <w:t xml:space="preserve"> (</w:t>
      </w:r>
      <w:proofErr w:type="spellStart"/>
      <w:r w:rsidR="00230605" w:rsidRPr="00CE6B92">
        <w:rPr>
          <w:rFonts w:ascii="Aptos" w:eastAsia="Aptos" w:hAnsi="Aptos" w:cs="Aptos"/>
          <w:szCs w:val="28"/>
          <w:lang w:val="en-GB" w:eastAsia="zh-CN" w:bidi="th-TH"/>
        </w:rPr>
        <w:t>Klimtman</w:t>
      </w:r>
      <w:proofErr w:type="spellEnd"/>
      <w:r w:rsidR="00230605" w:rsidRPr="00CE6B92">
        <w:rPr>
          <w:rFonts w:ascii="Aptos" w:eastAsia="Aptos" w:hAnsi="Aptos" w:cs="Aptos"/>
          <w:szCs w:val="28"/>
          <w:lang w:val="en-GB" w:eastAsia="zh-CN" w:bidi="th-TH"/>
        </w:rPr>
        <w:t xml:space="preserve"> 2019</w:t>
      </w:r>
      <w:r w:rsidR="00F140F0">
        <w:rPr>
          <w:lang w:val="en-GB" w:eastAsia="zh-CN" w:bidi="th-TH"/>
        </w:rPr>
        <w:t>).</w:t>
      </w:r>
      <w:r w:rsidR="00CE6B92" w:rsidRPr="00CD32CB">
        <w:rPr>
          <w:lang w:val="en-GB" w:eastAsia="zh-CN" w:bidi="th-TH"/>
        </w:rPr>
        <w:t xml:space="preserve"> </w:t>
      </w:r>
    </w:p>
    <w:p w14:paraId="5B3BF14A" w14:textId="77777777" w:rsidR="00CD32CB" w:rsidRDefault="00CE6B92" w:rsidP="001B7F4E">
      <w:pPr>
        <w:rPr>
          <w:highlight w:val="white"/>
          <w:lang w:val="en-GB" w:eastAsia="zh-CN" w:bidi="th-TH"/>
        </w:rPr>
      </w:pPr>
      <w:r w:rsidRPr="00CE6B92">
        <w:rPr>
          <w:highlight w:val="white"/>
          <w:lang w:val="en-GB" w:eastAsia="zh-CN" w:bidi="th-TH"/>
        </w:rPr>
        <w:t>These factors provide helpful starting points to conceive of possible interventions to increase resilience to</w:t>
      </w:r>
      <w:r w:rsidR="00EA5229">
        <w:rPr>
          <w:highlight w:val="white"/>
          <w:lang w:val="en-GB" w:eastAsia="zh-CN" w:bidi="th-TH"/>
        </w:rPr>
        <w:t xml:space="preserve"> mis- </w:t>
      </w:r>
      <w:r w:rsidR="001B7F4E">
        <w:rPr>
          <w:highlight w:val="white"/>
          <w:lang w:val="en-GB" w:eastAsia="zh-CN" w:bidi="th-TH"/>
        </w:rPr>
        <w:t>and disinformation</w:t>
      </w:r>
      <w:r w:rsidRPr="00CE6B92">
        <w:rPr>
          <w:highlight w:val="white"/>
          <w:lang w:val="en-GB" w:eastAsia="zh-CN" w:bidi="th-TH"/>
        </w:rPr>
        <w:t xml:space="preserve">. Of relevance to cultural and community institutions is the relationship between trust, the credibility of information sources and the considerable social capital that these institutions possess </w:t>
      </w:r>
      <w:r w:rsidRPr="00CE6B92">
        <w:rPr>
          <w:lang w:val="en-GB" w:eastAsia="zh-CN" w:bidi="th-TH"/>
        </w:rPr>
        <w:t>to educate communities in information and media literacy</w:t>
      </w:r>
      <w:r w:rsidR="00F140F0">
        <w:rPr>
          <w:highlight w:val="white"/>
          <w:lang w:val="en-GB" w:eastAsia="zh-CN" w:bidi="th-TH"/>
        </w:rPr>
        <w:t xml:space="preserve"> (</w:t>
      </w:r>
      <w:r w:rsidR="00230605" w:rsidRPr="00CE6B92">
        <w:rPr>
          <w:rFonts w:ascii="Aptos" w:eastAsia="Aptos" w:hAnsi="Aptos" w:cs="Aptos"/>
          <w:szCs w:val="28"/>
          <w:lang w:val="en-GB" w:eastAsia="zh-CN" w:bidi="th-TH"/>
        </w:rPr>
        <w:t xml:space="preserve">Bradshaw and </w:t>
      </w:r>
      <w:proofErr w:type="spellStart"/>
      <w:r w:rsidR="00230605" w:rsidRPr="00CE6B92">
        <w:rPr>
          <w:rFonts w:ascii="Aptos" w:eastAsia="Aptos" w:hAnsi="Aptos" w:cs="Aptos"/>
          <w:szCs w:val="28"/>
          <w:lang w:val="en-GB" w:eastAsia="zh-CN" w:bidi="th-TH"/>
        </w:rPr>
        <w:t>Neudert</w:t>
      </w:r>
      <w:proofErr w:type="spellEnd"/>
      <w:r w:rsidR="00230605" w:rsidRPr="00CE6B92">
        <w:rPr>
          <w:rFonts w:ascii="Aptos" w:eastAsia="Aptos" w:hAnsi="Aptos" w:cs="Aptos"/>
          <w:szCs w:val="28"/>
          <w:lang w:val="en-GB" w:eastAsia="zh-CN" w:bidi="th-TH"/>
        </w:rPr>
        <w:t xml:space="preserve"> 2021</w:t>
      </w:r>
      <w:r w:rsidR="00230605">
        <w:rPr>
          <w:rFonts w:ascii="Aptos" w:eastAsia="Aptos" w:hAnsi="Aptos" w:cs="Aptos"/>
          <w:szCs w:val="28"/>
          <w:lang w:val="en-GB" w:eastAsia="zh-CN" w:bidi="th-TH"/>
        </w:rPr>
        <w:t xml:space="preserve">; </w:t>
      </w:r>
      <w:r w:rsidR="00230605" w:rsidRPr="00CE6B92">
        <w:rPr>
          <w:rFonts w:ascii="Aptos" w:eastAsia="Aptos" w:hAnsi="Aptos" w:cs="Aptos"/>
          <w:szCs w:val="28"/>
          <w:lang w:val="en-GB" w:eastAsia="zh-CN" w:bidi="th-TH"/>
        </w:rPr>
        <w:t>Jackson 2025</w:t>
      </w:r>
      <w:r w:rsidR="00F140F0">
        <w:rPr>
          <w:highlight w:val="white"/>
          <w:lang w:val="en-GB" w:eastAsia="zh-CN" w:bidi="th-TH"/>
        </w:rPr>
        <w:t>).</w:t>
      </w:r>
    </w:p>
    <w:p w14:paraId="56B84F11" w14:textId="7295257E" w:rsidR="00CD32CB" w:rsidRDefault="00CE6B92" w:rsidP="001B7F4E">
      <w:pPr>
        <w:rPr>
          <w:lang w:val="en-GB" w:eastAsia="zh-CN" w:bidi="th-TH"/>
        </w:rPr>
      </w:pPr>
      <w:r w:rsidRPr="00CE6B92">
        <w:rPr>
          <w:highlight w:val="white"/>
          <w:lang w:val="en-GB" w:eastAsia="zh-CN" w:bidi="th-TH"/>
        </w:rPr>
        <w:lastRenderedPageBreak/>
        <w:t>Increasing the public’s information and media literacy and the provision of trusted, reliable sources of information is an essential component of any comprehensive national strategy for information resilience</w:t>
      </w:r>
      <w:r w:rsidR="00F140F0">
        <w:rPr>
          <w:highlight w:val="white"/>
          <w:lang w:val="en-GB" w:eastAsia="zh-CN" w:bidi="th-TH"/>
        </w:rPr>
        <w:t xml:space="preserve"> (</w:t>
      </w:r>
      <w:r w:rsidR="00230605" w:rsidRPr="00CE6B92">
        <w:rPr>
          <w:rFonts w:ascii="Aptos" w:eastAsia="Aptos" w:hAnsi="Aptos" w:cs="Aptos"/>
          <w:szCs w:val="28"/>
          <w:lang w:val="en-GB" w:eastAsia="zh-CN" w:bidi="th-TH"/>
        </w:rPr>
        <w:t>Park</w:t>
      </w:r>
      <w:r w:rsidR="00230605">
        <w:rPr>
          <w:rFonts w:ascii="Aptos" w:eastAsia="Aptos" w:hAnsi="Aptos" w:cs="Aptos"/>
          <w:szCs w:val="28"/>
          <w:lang w:val="en-GB" w:eastAsia="zh-CN" w:bidi="th-TH"/>
        </w:rPr>
        <w:t xml:space="preserve"> et al. 2024</w:t>
      </w:r>
      <w:r w:rsidR="00F140F0">
        <w:rPr>
          <w:highlight w:val="white"/>
          <w:lang w:val="en-GB" w:eastAsia="zh-CN" w:bidi="th-TH"/>
        </w:rPr>
        <w:t>).</w:t>
      </w:r>
      <w:r w:rsidR="00CD32CB">
        <w:rPr>
          <w:highlight w:val="white"/>
          <w:lang w:val="en-GB" w:eastAsia="zh-CN" w:bidi="th-TH"/>
        </w:rPr>
        <w:t xml:space="preserve"> </w:t>
      </w:r>
      <w:r w:rsidRPr="00CE6B92">
        <w:rPr>
          <w:highlight w:val="white"/>
          <w:lang w:val="en-GB" w:eastAsia="zh-CN" w:bidi="th-TH"/>
        </w:rPr>
        <w:t xml:space="preserve">Survey research finds that Australians have poor actual and perceived </w:t>
      </w:r>
      <w:r w:rsidRPr="00CE6B92">
        <w:rPr>
          <w:lang w:val="en-GB" w:eastAsia="zh-CN" w:bidi="th-TH"/>
        </w:rPr>
        <w:t>abilities to identify</w:t>
      </w:r>
      <w:r w:rsidR="00EA5229">
        <w:rPr>
          <w:lang w:val="en-GB" w:eastAsia="zh-CN" w:bidi="th-TH"/>
        </w:rPr>
        <w:t xml:space="preserve"> mis- </w:t>
      </w:r>
      <w:r w:rsidR="001B7F4E">
        <w:rPr>
          <w:lang w:val="en-GB" w:eastAsia="zh-CN" w:bidi="th-TH"/>
        </w:rPr>
        <w:t>and disinformation</w:t>
      </w:r>
      <w:r w:rsidRPr="00CE6B92">
        <w:rPr>
          <w:lang w:val="en-GB" w:eastAsia="zh-CN" w:bidi="th-TH"/>
        </w:rPr>
        <w:t xml:space="preserve">. </w:t>
      </w:r>
      <w:r w:rsidRPr="00CE6B92">
        <w:rPr>
          <w:highlight w:val="white"/>
          <w:lang w:val="en-GB" w:eastAsia="zh-CN" w:bidi="th-TH"/>
        </w:rPr>
        <w:t>Only 42% of respondents were confident that they could verify if information online is true and only 39% were confident that they could verify the reliability of a website</w:t>
      </w:r>
      <w:r w:rsidR="00F140F0">
        <w:rPr>
          <w:highlight w:val="white"/>
          <w:lang w:val="en-GB" w:eastAsia="zh-CN" w:bidi="th-TH"/>
        </w:rPr>
        <w:t xml:space="preserve"> (</w:t>
      </w:r>
      <w:r w:rsidR="00230605" w:rsidRPr="00CE6B92">
        <w:rPr>
          <w:rFonts w:ascii="Aptos" w:eastAsia="Aptos" w:hAnsi="Aptos" w:cs="Aptos"/>
          <w:szCs w:val="28"/>
          <w:lang w:val="en-GB" w:eastAsia="zh-CN" w:bidi="th-TH"/>
        </w:rPr>
        <w:t>Park</w:t>
      </w:r>
      <w:r w:rsidR="008702A4">
        <w:rPr>
          <w:rFonts w:ascii="Aptos" w:eastAsia="Aptos" w:hAnsi="Aptos" w:cs="Aptos"/>
          <w:szCs w:val="28"/>
          <w:lang w:val="en-GB" w:eastAsia="zh-CN" w:bidi="th-TH"/>
        </w:rPr>
        <w:t> </w:t>
      </w:r>
      <w:r w:rsidR="00230605">
        <w:rPr>
          <w:rFonts w:ascii="Aptos" w:eastAsia="Aptos" w:hAnsi="Aptos" w:cs="Aptos"/>
          <w:szCs w:val="28"/>
          <w:lang w:val="en-GB" w:eastAsia="zh-CN" w:bidi="th-TH"/>
        </w:rPr>
        <w:t>et al. 2024</w:t>
      </w:r>
      <w:r w:rsidR="00F140F0">
        <w:rPr>
          <w:highlight w:val="white"/>
          <w:lang w:val="en-GB" w:eastAsia="zh-CN" w:bidi="th-TH"/>
        </w:rPr>
        <w:t>).</w:t>
      </w:r>
      <w:r w:rsidR="00CD32CB">
        <w:rPr>
          <w:highlight w:val="white"/>
          <w:lang w:val="en-GB" w:eastAsia="zh-CN" w:bidi="th-TH"/>
        </w:rPr>
        <w:t xml:space="preserve"> </w:t>
      </w:r>
      <w:r w:rsidRPr="00CE6B92">
        <w:rPr>
          <w:highlight w:val="white"/>
          <w:lang w:val="en-GB" w:eastAsia="zh-CN" w:bidi="th-TH"/>
        </w:rPr>
        <w:t>It is notable that surveys conducted by the Australian Media Literacy Alliance provide reliable data demonstrating a high demand for quality, accessible adult (82% in favour) and school</w:t>
      </w:r>
      <w:r w:rsidR="001404FB">
        <w:rPr>
          <w:highlight w:val="white"/>
          <w:lang w:val="en-GB" w:eastAsia="zh-CN" w:bidi="th-TH"/>
        </w:rPr>
        <w:noBreakHyphen/>
      </w:r>
      <w:r w:rsidRPr="00CE6B92">
        <w:rPr>
          <w:highlight w:val="white"/>
          <w:lang w:val="en-GB" w:eastAsia="zh-CN" w:bidi="th-TH"/>
        </w:rPr>
        <w:t>based (84% in favour) information and media literacy education</w:t>
      </w:r>
      <w:r>
        <w:rPr>
          <w:lang w:val="en-GB" w:eastAsia="zh-CN" w:bidi="th-TH"/>
        </w:rPr>
        <w:t xml:space="preserve"> (</w:t>
      </w:r>
      <w:r w:rsidR="00230605" w:rsidRPr="00CE6B92">
        <w:rPr>
          <w:rFonts w:ascii="Aptos" w:eastAsia="Aptos" w:hAnsi="Aptos" w:cs="Aptos"/>
          <w:szCs w:val="28"/>
          <w:lang w:val="en-GB" w:eastAsia="zh-CN" w:bidi="th-TH"/>
        </w:rPr>
        <w:t>Notley</w:t>
      </w:r>
      <w:r w:rsidR="00230605">
        <w:rPr>
          <w:rFonts w:ascii="Aptos" w:eastAsia="Aptos" w:hAnsi="Aptos" w:cs="Aptos"/>
          <w:szCs w:val="28"/>
          <w:lang w:val="en-GB" w:eastAsia="zh-CN" w:bidi="th-TH"/>
        </w:rPr>
        <w:t xml:space="preserve"> et al. </w:t>
      </w:r>
      <w:r w:rsidR="00DD4212">
        <w:rPr>
          <w:rFonts w:ascii="Aptos" w:eastAsia="Aptos" w:hAnsi="Aptos" w:cs="Aptos"/>
          <w:szCs w:val="28"/>
          <w:lang w:val="en-GB" w:eastAsia="zh-CN" w:bidi="th-TH"/>
        </w:rPr>
        <w:t>2021</w:t>
      </w:r>
      <w:r w:rsidR="004C64E8">
        <w:rPr>
          <w:rFonts w:ascii="Aptos" w:eastAsia="Aptos" w:hAnsi="Aptos" w:cs="Aptos"/>
          <w:szCs w:val="28"/>
          <w:lang w:val="en-GB" w:eastAsia="zh-CN" w:bidi="th-TH"/>
        </w:rPr>
        <w:t>,</w:t>
      </w:r>
      <w:r w:rsidR="00DD4212">
        <w:rPr>
          <w:rFonts w:ascii="Aptos" w:eastAsia="Aptos" w:hAnsi="Aptos" w:cs="Aptos"/>
          <w:szCs w:val="28"/>
          <w:lang w:val="en-GB" w:eastAsia="zh-CN" w:bidi="th-TH"/>
        </w:rPr>
        <w:t xml:space="preserve"> 2024</w:t>
      </w:r>
      <w:r>
        <w:rPr>
          <w:lang w:val="en-GB" w:eastAsia="zh-CN" w:bidi="th-TH"/>
        </w:rPr>
        <w:t>).</w:t>
      </w:r>
    </w:p>
    <w:p w14:paraId="734110D8" w14:textId="77777777" w:rsidR="00CD32CB" w:rsidRPr="008702A4" w:rsidRDefault="00CE6B92" w:rsidP="001B7F4E">
      <w:pPr>
        <w:rPr>
          <w:spacing w:val="-2"/>
          <w:highlight w:val="white"/>
          <w:lang w:val="en-GB" w:eastAsia="zh-CN" w:bidi="th-TH"/>
        </w:rPr>
      </w:pPr>
      <w:r w:rsidRPr="008702A4">
        <w:rPr>
          <w:spacing w:val="-2"/>
          <w:highlight w:val="white"/>
          <w:lang w:val="en-GB" w:eastAsia="zh-CN" w:bidi="th-TH"/>
        </w:rPr>
        <w:t>For media and information literacy interventions to be effective, accessibility and appropriateness for different audiences is key.</w:t>
      </w:r>
      <w:bookmarkStart w:id="42" w:name="_Hlk220606058"/>
      <w:r w:rsidRPr="008702A4">
        <w:rPr>
          <w:spacing w:val="-2"/>
          <w:highlight w:val="white"/>
          <w:lang w:val="en-GB" w:eastAsia="zh-CN" w:bidi="th-TH"/>
        </w:rPr>
        <w:t xml:space="preserve"> This includes prioritising groups who may be more susceptible to</w:t>
      </w:r>
      <w:r w:rsidR="00EA5229" w:rsidRPr="008702A4">
        <w:rPr>
          <w:spacing w:val="-2"/>
          <w:highlight w:val="white"/>
          <w:lang w:val="en-GB" w:eastAsia="zh-CN" w:bidi="th-TH"/>
        </w:rPr>
        <w:t xml:space="preserve"> mis- </w:t>
      </w:r>
      <w:r w:rsidR="001B7F4E" w:rsidRPr="008702A4">
        <w:rPr>
          <w:spacing w:val="-2"/>
          <w:highlight w:val="white"/>
          <w:lang w:val="en-GB" w:eastAsia="zh-CN" w:bidi="th-TH"/>
        </w:rPr>
        <w:t>and disinformation</w:t>
      </w:r>
      <w:r w:rsidRPr="008702A4">
        <w:rPr>
          <w:spacing w:val="-2"/>
          <w:highlight w:val="white"/>
          <w:lang w:val="en-GB" w:eastAsia="zh-CN" w:bidi="th-TH"/>
        </w:rPr>
        <w:t xml:space="preserve">, low social identification and polarisation (e.g. </w:t>
      </w:r>
      <w:r w:rsidRPr="008702A4">
        <w:rPr>
          <w:spacing w:val="-2"/>
          <w:lang w:val="en-GB" w:eastAsia="zh-CN" w:bidi="th-TH"/>
        </w:rPr>
        <w:t xml:space="preserve">those who are less educated, from lower income households or are from CALD backgrounds), </w:t>
      </w:r>
      <w:r w:rsidRPr="008702A4">
        <w:rPr>
          <w:spacing w:val="-2"/>
          <w:highlight w:val="white"/>
          <w:lang w:val="en-GB" w:eastAsia="zh-CN" w:bidi="th-TH"/>
        </w:rPr>
        <w:t>acknowledging the diversity of the Australia public and tailoring interventions accordingly (e.g. multilingual resources, addressing</w:t>
      </w:r>
      <w:r w:rsidR="00EA5229" w:rsidRPr="008702A4">
        <w:rPr>
          <w:spacing w:val="-2"/>
          <w:highlight w:val="white"/>
          <w:lang w:val="en-GB" w:eastAsia="zh-CN" w:bidi="th-TH"/>
        </w:rPr>
        <w:t xml:space="preserve"> mis- </w:t>
      </w:r>
      <w:r w:rsidR="001B7F4E" w:rsidRPr="008702A4">
        <w:rPr>
          <w:spacing w:val="-2"/>
          <w:highlight w:val="white"/>
          <w:lang w:val="en-GB" w:eastAsia="zh-CN" w:bidi="th-TH"/>
        </w:rPr>
        <w:t>and disinformation</w:t>
      </w:r>
      <w:r w:rsidRPr="008702A4">
        <w:rPr>
          <w:spacing w:val="-2"/>
          <w:highlight w:val="white"/>
          <w:lang w:val="en-GB" w:eastAsia="zh-CN" w:bidi="th-TH"/>
        </w:rPr>
        <w:t xml:space="preserve"> in culturally resonant ways) (</w:t>
      </w:r>
      <w:r w:rsidR="00DD4212" w:rsidRPr="008702A4">
        <w:rPr>
          <w:rFonts w:eastAsia="Aptos" w:cs="Aptos"/>
          <w:spacing w:val="-2"/>
          <w:szCs w:val="28"/>
          <w:lang w:val="en-GB" w:eastAsia="zh-CN" w:bidi="th-TH"/>
        </w:rPr>
        <w:t>Notley et al. 2024; Yang and Sukhmani 2024</w:t>
      </w:r>
      <w:r w:rsidRPr="008702A4">
        <w:rPr>
          <w:spacing w:val="-2"/>
          <w:highlight w:val="white"/>
          <w:lang w:val="en-GB" w:eastAsia="zh-CN" w:bidi="th-TH"/>
        </w:rPr>
        <w:t>).</w:t>
      </w:r>
      <w:bookmarkEnd w:id="42"/>
    </w:p>
    <w:p w14:paraId="58184438" w14:textId="40E253FF" w:rsidR="00CE6B92" w:rsidRPr="00A15AEA" w:rsidRDefault="00CE6B92" w:rsidP="001B7F4E">
      <w:pPr>
        <w:rPr>
          <w:lang w:val="en-GB" w:eastAsia="zh-CN" w:bidi="th-TH"/>
        </w:rPr>
      </w:pPr>
      <w:r w:rsidRPr="00CE6B92">
        <w:rPr>
          <w:highlight w:val="white"/>
          <w:lang w:val="en-GB" w:eastAsia="zh-CN" w:bidi="th-TH"/>
        </w:rPr>
        <w:t xml:space="preserve">Many cultural and community institutions have existing public literacy </w:t>
      </w:r>
      <w:r w:rsidRPr="00CE6B92">
        <w:rPr>
          <w:lang w:val="en-GB" w:eastAsia="zh-CN" w:bidi="th-TH"/>
        </w:rPr>
        <w:t>functions and are</w:t>
      </w:r>
      <w:r w:rsidRPr="00CE6B92">
        <w:rPr>
          <w:highlight w:val="white"/>
          <w:lang w:val="en-GB" w:eastAsia="zh-CN" w:bidi="th-TH"/>
        </w:rPr>
        <w:t xml:space="preserve"> already engaged in</w:t>
      </w:r>
      <w:r w:rsidR="00EA5229">
        <w:rPr>
          <w:highlight w:val="white"/>
          <w:lang w:val="en-GB" w:eastAsia="zh-CN" w:bidi="th-TH"/>
        </w:rPr>
        <w:t xml:space="preserve"> mis- </w:t>
      </w:r>
      <w:r w:rsidR="001B7F4E">
        <w:rPr>
          <w:highlight w:val="white"/>
          <w:lang w:val="en-GB" w:eastAsia="zh-CN" w:bidi="th-TH"/>
        </w:rPr>
        <w:t>and disinformation</w:t>
      </w:r>
      <w:r w:rsidRPr="00CE6B92">
        <w:rPr>
          <w:highlight w:val="white"/>
          <w:lang w:val="en-GB" w:eastAsia="zh-CN" w:bidi="th-TH"/>
        </w:rPr>
        <w:t xml:space="preserve"> interventions</w:t>
      </w:r>
      <w:r w:rsidR="00F140F0">
        <w:rPr>
          <w:lang w:val="en-GB" w:eastAsia="zh-CN" w:bidi="th-TH"/>
        </w:rPr>
        <w:t xml:space="preserve"> (</w:t>
      </w:r>
      <w:r w:rsidR="00DD4212" w:rsidRPr="00CE6B92">
        <w:rPr>
          <w:rFonts w:ascii="Aptos" w:eastAsia="Aptos" w:hAnsi="Aptos" w:cs="Aptos"/>
          <w:szCs w:val="28"/>
          <w:lang w:val="en-GB" w:eastAsia="zh-CN" w:bidi="th-TH"/>
        </w:rPr>
        <w:t>De Paor and Heravi 2020</w:t>
      </w:r>
      <w:r w:rsidR="00DD4212">
        <w:rPr>
          <w:rFonts w:ascii="Aptos" w:eastAsia="Aptos" w:hAnsi="Aptos" w:cs="Aptos"/>
          <w:szCs w:val="28"/>
          <w:lang w:val="en-GB" w:eastAsia="zh-CN" w:bidi="th-TH"/>
        </w:rPr>
        <w:t xml:space="preserve">; </w:t>
      </w:r>
      <w:r w:rsidR="00DD4212" w:rsidRPr="00CE6B92">
        <w:rPr>
          <w:rFonts w:ascii="Aptos" w:eastAsia="Aptos" w:hAnsi="Aptos" w:cs="Aptos"/>
          <w:szCs w:val="28"/>
          <w:lang w:val="en-GB" w:eastAsia="zh-CN" w:bidi="th-TH"/>
        </w:rPr>
        <w:t>Johns</w:t>
      </w:r>
      <w:r w:rsidR="0076745E">
        <w:rPr>
          <w:rFonts w:ascii="Aptos" w:eastAsia="Aptos" w:hAnsi="Aptos" w:cs="Aptos"/>
          <w:szCs w:val="28"/>
          <w:lang w:val="en-GB" w:eastAsia="zh-CN" w:bidi="th-TH"/>
        </w:rPr>
        <w:t>t</w:t>
      </w:r>
      <w:r w:rsidR="00DD4212" w:rsidRPr="00CE6B92">
        <w:rPr>
          <w:rFonts w:ascii="Aptos" w:eastAsia="Aptos" w:hAnsi="Aptos" w:cs="Aptos"/>
          <w:szCs w:val="28"/>
          <w:lang w:val="en-GB" w:eastAsia="zh-CN" w:bidi="th-TH"/>
        </w:rPr>
        <w:t>on 2023</w:t>
      </w:r>
      <w:r w:rsidR="00F140F0">
        <w:rPr>
          <w:lang w:val="en-GB" w:eastAsia="zh-CN" w:bidi="th-TH"/>
        </w:rPr>
        <w:t>).</w:t>
      </w:r>
      <w:r w:rsidR="000C0835">
        <w:rPr>
          <w:lang w:val="en-GB" w:eastAsia="zh-CN" w:bidi="th-TH"/>
        </w:rPr>
        <w:t xml:space="preserve"> </w:t>
      </w:r>
      <w:r w:rsidRPr="00CE6B92">
        <w:rPr>
          <w:highlight w:val="white"/>
          <w:lang w:val="en-GB" w:eastAsia="zh-CN" w:bidi="th-TH"/>
        </w:rPr>
        <w:t>The literature finds that libraries as particularly well</w:t>
      </w:r>
      <w:r w:rsidR="001404FB">
        <w:rPr>
          <w:highlight w:val="white"/>
          <w:lang w:val="en-GB" w:eastAsia="zh-CN" w:bidi="th-TH"/>
        </w:rPr>
        <w:noBreakHyphen/>
      </w:r>
      <w:r w:rsidRPr="00CE6B92">
        <w:rPr>
          <w:highlight w:val="white"/>
          <w:lang w:val="en-GB" w:eastAsia="zh-CN" w:bidi="th-TH"/>
        </w:rPr>
        <w:t>placed to deliver information and media literacy interventions. Libraries are embedded in communities and have unparalleled reach, with one</w:t>
      </w:r>
      <w:r w:rsidR="001404FB">
        <w:rPr>
          <w:highlight w:val="white"/>
          <w:lang w:val="en-GB" w:eastAsia="zh-CN" w:bidi="th-TH"/>
        </w:rPr>
        <w:noBreakHyphen/>
      </w:r>
      <w:r w:rsidRPr="00CE6B92">
        <w:rPr>
          <w:highlight w:val="white"/>
          <w:lang w:val="en-GB" w:eastAsia="zh-CN" w:bidi="th-TH"/>
        </w:rPr>
        <w:t xml:space="preserve">third of Australians holding public library memberships and services provided at more than 1700 branches and mobile sites </w:t>
      </w:r>
      <w:r w:rsidRPr="0090767C">
        <w:rPr>
          <w:lang w:val="en-GB" w:eastAsia="zh-CN" w:bidi="th-TH"/>
        </w:rPr>
        <w:t>nationally</w:t>
      </w:r>
      <w:r w:rsidR="00F140F0" w:rsidRPr="0090767C">
        <w:rPr>
          <w:lang w:val="en-GB" w:eastAsia="zh-CN" w:bidi="th-TH"/>
        </w:rPr>
        <w:t xml:space="preserve"> (</w:t>
      </w:r>
      <w:r w:rsidR="00CE6CCC">
        <w:rPr>
          <w:rFonts w:ascii="Aptos" w:eastAsia="Aptos" w:hAnsi="Aptos" w:cs="Aptos"/>
          <w:szCs w:val="28"/>
          <w:lang w:val="en-GB" w:eastAsia="zh-CN" w:bidi="th-TH"/>
        </w:rPr>
        <w:t>ALIA</w:t>
      </w:r>
      <w:r w:rsidR="0090767C" w:rsidRPr="0090767C">
        <w:rPr>
          <w:rFonts w:ascii="Aptos" w:eastAsia="Aptos" w:hAnsi="Aptos" w:cs="Aptos"/>
          <w:szCs w:val="28"/>
          <w:lang w:val="en-GB" w:eastAsia="zh-CN" w:bidi="th-TH"/>
        </w:rPr>
        <w:t xml:space="preserve"> 2024</w:t>
      </w:r>
      <w:r w:rsidR="00F140F0" w:rsidRPr="0090767C">
        <w:rPr>
          <w:lang w:val="en-GB" w:eastAsia="zh-CN" w:bidi="th-TH"/>
        </w:rPr>
        <w:t>).</w:t>
      </w:r>
      <w:r w:rsidRPr="0090767C">
        <w:rPr>
          <w:lang w:val="en-GB" w:eastAsia="zh-CN" w:bidi="th-TH"/>
        </w:rPr>
        <w:t xml:space="preserve"> Lib</w:t>
      </w:r>
      <w:r w:rsidRPr="00CE6B92">
        <w:rPr>
          <w:highlight w:val="white"/>
          <w:lang w:val="en-GB" w:eastAsia="zh-CN" w:bidi="th-TH"/>
        </w:rPr>
        <w:t>raries are also trusted sources of information and offer a range of formal information and media literacy services via their programming and activities, including guides and workshops on online safety and common</w:t>
      </w:r>
      <w:r w:rsidR="00EA5229">
        <w:rPr>
          <w:highlight w:val="white"/>
          <w:lang w:val="en-GB" w:eastAsia="zh-CN" w:bidi="th-TH"/>
        </w:rPr>
        <w:t xml:space="preserve"> mis- </w:t>
      </w:r>
      <w:r w:rsidR="001B7F4E">
        <w:rPr>
          <w:highlight w:val="white"/>
          <w:lang w:val="en-GB" w:eastAsia="zh-CN" w:bidi="th-TH"/>
        </w:rPr>
        <w:t>and disinformation</w:t>
      </w:r>
      <w:r w:rsidRPr="00CE6B92">
        <w:rPr>
          <w:highlight w:val="white"/>
          <w:lang w:val="en-GB" w:eastAsia="zh-CN" w:bidi="th-TH"/>
        </w:rPr>
        <w:t xml:space="preserve"> techniques</w:t>
      </w:r>
      <w:r w:rsidR="00F140F0">
        <w:rPr>
          <w:highlight w:val="white"/>
          <w:lang w:val="en-GB" w:eastAsia="zh-CN" w:bidi="th-TH"/>
        </w:rPr>
        <w:t xml:space="preserve"> (</w:t>
      </w:r>
      <w:r w:rsidR="0090767C" w:rsidRPr="00CE6B92">
        <w:rPr>
          <w:rFonts w:ascii="Aptos" w:eastAsia="Aptos" w:hAnsi="Aptos" w:cs="Aptos"/>
          <w:szCs w:val="28"/>
          <w:lang w:val="en-GB" w:eastAsia="zh-CN" w:bidi="th-TH"/>
        </w:rPr>
        <w:t>Dragomir</w:t>
      </w:r>
      <w:r w:rsidR="0090767C">
        <w:rPr>
          <w:rFonts w:ascii="Aptos" w:eastAsia="Aptos" w:hAnsi="Aptos" w:cs="Aptos"/>
          <w:szCs w:val="28"/>
          <w:lang w:val="en-GB" w:eastAsia="zh-CN" w:bidi="th-TH"/>
        </w:rPr>
        <w:t xml:space="preserve"> et al. 2024</w:t>
      </w:r>
      <w:r w:rsidR="00F140F0">
        <w:rPr>
          <w:highlight w:val="white"/>
          <w:lang w:val="en-GB" w:eastAsia="zh-CN" w:bidi="th-TH"/>
        </w:rPr>
        <w:t>).</w:t>
      </w:r>
      <w:r w:rsidR="000C0835">
        <w:rPr>
          <w:lang w:val="en-GB" w:eastAsia="zh-CN" w:bidi="th-TH"/>
        </w:rPr>
        <w:t xml:space="preserve"> </w:t>
      </w:r>
      <w:r w:rsidRPr="00CE6B92">
        <w:rPr>
          <w:lang w:val="en-GB" w:eastAsia="zh-CN" w:bidi="th-TH"/>
        </w:rPr>
        <w:t>While survey data shows that Australians prefer to learn information and media literacy in online tutorials, one</w:t>
      </w:r>
      <w:r w:rsidR="008702A4">
        <w:rPr>
          <w:lang w:val="en-GB" w:eastAsia="zh-CN" w:bidi="th-TH"/>
        </w:rPr>
        <w:t> </w:t>
      </w:r>
      <w:r w:rsidRPr="00CE6B92">
        <w:rPr>
          <w:lang w:val="en-GB" w:eastAsia="zh-CN" w:bidi="th-TH"/>
        </w:rPr>
        <w:t>in</w:t>
      </w:r>
      <w:r w:rsidR="008702A4">
        <w:rPr>
          <w:lang w:val="en-GB" w:eastAsia="zh-CN" w:bidi="th-TH"/>
        </w:rPr>
        <w:t> </w:t>
      </w:r>
      <w:r w:rsidR="002B6EDD">
        <w:rPr>
          <w:lang w:val="en-GB" w:eastAsia="zh-CN" w:bidi="th-TH"/>
        </w:rPr>
        <w:t>5</w:t>
      </w:r>
      <w:r w:rsidRPr="00CE6B92">
        <w:rPr>
          <w:lang w:val="en-GB" w:eastAsia="zh-CN" w:bidi="th-TH"/>
        </w:rPr>
        <w:t xml:space="preserve"> want access to support in libraries</w:t>
      </w:r>
      <w:r w:rsidR="00F140F0">
        <w:rPr>
          <w:lang w:val="en-GB" w:eastAsia="zh-CN" w:bidi="th-TH"/>
        </w:rPr>
        <w:t xml:space="preserve"> (</w:t>
      </w:r>
      <w:r w:rsidR="0090767C">
        <w:rPr>
          <w:rFonts w:ascii="Aptos" w:eastAsia="Aptos" w:hAnsi="Aptos" w:cs="Aptos"/>
          <w:szCs w:val="28"/>
          <w:lang w:val="en-GB" w:eastAsia="zh-CN" w:bidi="th-TH"/>
        </w:rPr>
        <w:t>Notley et al. 2024</w:t>
      </w:r>
      <w:r w:rsidR="00F140F0">
        <w:rPr>
          <w:lang w:val="en-GB" w:eastAsia="zh-CN" w:bidi="th-TH"/>
        </w:rPr>
        <w:t>).</w:t>
      </w:r>
    </w:p>
    <w:p w14:paraId="35FDF089" w14:textId="693B3319" w:rsidR="00CE6B92" w:rsidRPr="00A15AEA" w:rsidRDefault="00CE6B92" w:rsidP="001B7F4E">
      <w:pPr>
        <w:rPr>
          <w:lang w:val="en-GB" w:eastAsia="zh-CN" w:bidi="th-TH"/>
        </w:rPr>
      </w:pPr>
      <w:r w:rsidRPr="00CE6B92">
        <w:rPr>
          <w:highlight w:val="white"/>
          <w:lang w:val="en-GB" w:eastAsia="zh-CN" w:bidi="th-TH"/>
        </w:rPr>
        <w:t>Libraries also provide incidental media literacy education; a patron may seek technical assistance when accessing internet services, providing staff with teachable moments to share guidance on information credibility and</w:t>
      </w:r>
      <w:r w:rsidR="00EA5229">
        <w:rPr>
          <w:highlight w:val="white"/>
          <w:lang w:val="en-GB" w:eastAsia="zh-CN" w:bidi="th-TH"/>
        </w:rPr>
        <w:t xml:space="preserve"> mis- </w:t>
      </w:r>
      <w:r w:rsidR="001B7F4E">
        <w:rPr>
          <w:highlight w:val="white"/>
          <w:lang w:val="en-GB" w:eastAsia="zh-CN" w:bidi="th-TH"/>
        </w:rPr>
        <w:t>and disinformation</w:t>
      </w:r>
      <w:r w:rsidR="00F140F0">
        <w:rPr>
          <w:highlight w:val="white"/>
          <w:lang w:val="en-GB" w:eastAsia="zh-CN" w:bidi="th-TH"/>
        </w:rPr>
        <w:t xml:space="preserve"> (</w:t>
      </w:r>
      <w:r w:rsidR="0090767C" w:rsidRPr="00CE6B92">
        <w:rPr>
          <w:rFonts w:ascii="Aptos" w:eastAsia="Aptos" w:hAnsi="Aptos" w:cs="Aptos"/>
          <w:szCs w:val="28"/>
          <w:lang w:val="en-GB" w:eastAsia="zh-CN" w:bidi="th-TH"/>
        </w:rPr>
        <w:t>Johns</w:t>
      </w:r>
      <w:r w:rsidR="0076745E">
        <w:rPr>
          <w:rFonts w:ascii="Aptos" w:eastAsia="Aptos" w:hAnsi="Aptos" w:cs="Aptos"/>
          <w:szCs w:val="28"/>
          <w:lang w:val="en-GB" w:eastAsia="zh-CN" w:bidi="th-TH"/>
        </w:rPr>
        <w:t>t</w:t>
      </w:r>
      <w:r w:rsidR="0090767C" w:rsidRPr="00CE6B92">
        <w:rPr>
          <w:rFonts w:ascii="Aptos" w:eastAsia="Aptos" w:hAnsi="Aptos" w:cs="Aptos"/>
          <w:szCs w:val="28"/>
          <w:lang w:val="en-GB" w:eastAsia="zh-CN" w:bidi="th-TH"/>
        </w:rPr>
        <w:t>on 2023</w:t>
      </w:r>
      <w:r w:rsidR="0090767C">
        <w:rPr>
          <w:rFonts w:ascii="Aptos" w:eastAsia="Aptos" w:hAnsi="Aptos" w:cs="Aptos"/>
          <w:szCs w:val="28"/>
          <w:lang w:val="en-GB" w:eastAsia="zh-CN" w:bidi="th-TH"/>
        </w:rPr>
        <w:t xml:space="preserve">; </w:t>
      </w:r>
      <w:r w:rsidR="0090767C" w:rsidRPr="00CE6B92">
        <w:rPr>
          <w:rFonts w:ascii="Aptos" w:eastAsia="Aptos" w:hAnsi="Aptos" w:cs="Aptos"/>
          <w:szCs w:val="28"/>
          <w:lang w:val="en-GB" w:eastAsia="zh-CN" w:bidi="th-TH"/>
        </w:rPr>
        <w:t>Park</w:t>
      </w:r>
      <w:r w:rsidR="0090767C">
        <w:rPr>
          <w:rFonts w:ascii="Aptos" w:eastAsia="Aptos" w:hAnsi="Aptos" w:cs="Aptos"/>
          <w:szCs w:val="28"/>
          <w:lang w:val="en-GB" w:eastAsia="zh-CN" w:bidi="th-TH"/>
        </w:rPr>
        <w:t xml:space="preserve"> et al. 2023</w:t>
      </w:r>
      <w:r w:rsidR="006635A5">
        <w:rPr>
          <w:rFonts w:ascii="Aptos" w:eastAsia="Aptos" w:hAnsi="Aptos" w:cs="Aptos"/>
          <w:szCs w:val="28"/>
          <w:lang w:val="en-GB" w:eastAsia="zh-CN" w:bidi="th-TH"/>
        </w:rPr>
        <w:t>a</w:t>
      </w:r>
      <w:r w:rsidR="0090767C">
        <w:rPr>
          <w:rFonts w:ascii="Aptos" w:eastAsia="Aptos" w:hAnsi="Aptos" w:cs="Aptos"/>
          <w:szCs w:val="28"/>
          <w:lang w:val="en-GB" w:eastAsia="zh-CN" w:bidi="th-TH"/>
        </w:rPr>
        <w:t xml:space="preserve">; </w:t>
      </w:r>
      <w:r w:rsidR="006635A5" w:rsidRPr="00CE6B92">
        <w:rPr>
          <w:rFonts w:ascii="Aptos" w:eastAsia="Aptos" w:hAnsi="Aptos" w:cs="Aptos"/>
          <w:szCs w:val="28"/>
          <w:lang w:val="en-GB" w:eastAsia="zh-CN" w:bidi="th-TH"/>
        </w:rPr>
        <w:t>Park</w:t>
      </w:r>
      <w:r w:rsidR="006635A5">
        <w:rPr>
          <w:rFonts w:ascii="Aptos" w:eastAsia="Aptos" w:hAnsi="Aptos" w:cs="Aptos"/>
          <w:szCs w:val="28"/>
          <w:lang w:val="en-GB" w:eastAsia="zh-CN" w:bidi="th-TH"/>
        </w:rPr>
        <w:t xml:space="preserve"> et al. 2023b</w:t>
      </w:r>
      <w:r w:rsidR="00F140F0">
        <w:rPr>
          <w:highlight w:val="white"/>
          <w:lang w:val="en-GB" w:eastAsia="zh-CN" w:bidi="th-TH"/>
        </w:rPr>
        <w:t>).</w:t>
      </w:r>
      <w:r w:rsidR="00C325DF">
        <w:rPr>
          <w:highlight w:val="white"/>
          <w:lang w:val="en-GB" w:eastAsia="zh-CN" w:bidi="th-TH"/>
        </w:rPr>
        <w:t xml:space="preserve"> </w:t>
      </w:r>
      <w:r w:rsidRPr="00CE6B92">
        <w:rPr>
          <w:highlight w:val="white"/>
          <w:lang w:val="en-GB" w:eastAsia="zh-CN" w:bidi="th-TH"/>
        </w:rPr>
        <w:t xml:space="preserve">In one study, library staff interviewed noted the effectiveness of incidental interactions – described as </w:t>
      </w:r>
      <w:r w:rsidR="005626AD">
        <w:rPr>
          <w:highlight w:val="white"/>
          <w:lang w:val="en-GB" w:eastAsia="zh-CN" w:bidi="th-TH"/>
        </w:rPr>
        <w:t>‘</w:t>
      </w:r>
      <w:r w:rsidRPr="00CE6B92">
        <w:rPr>
          <w:highlight w:val="white"/>
          <w:lang w:val="en-GB" w:eastAsia="zh-CN" w:bidi="th-TH"/>
        </w:rPr>
        <w:t>piggybacking</w:t>
      </w:r>
      <w:r w:rsidR="005626AD">
        <w:rPr>
          <w:highlight w:val="white"/>
          <w:lang w:val="en-GB" w:eastAsia="zh-CN" w:bidi="th-TH"/>
        </w:rPr>
        <w:t>’</w:t>
      </w:r>
      <w:r w:rsidRPr="00CE6B92">
        <w:rPr>
          <w:highlight w:val="white"/>
          <w:lang w:val="en-GB" w:eastAsia="zh-CN" w:bidi="th-TH"/>
        </w:rPr>
        <w:t xml:space="preserve"> content – for reaching communities who are traditionally disengaged or mistrustful, including patrons who are older or from CALD backgrounds</w:t>
      </w:r>
      <w:r w:rsidR="00F140F0">
        <w:rPr>
          <w:highlight w:val="white"/>
          <w:lang w:val="en-GB" w:eastAsia="zh-CN" w:bidi="th-TH"/>
        </w:rPr>
        <w:t xml:space="preserve"> (</w:t>
      </w:r>
      <w:r w:rsidR="00CC7793" w:rsidRPr="00CE6B92">
        <w:rPr>
          <w:rFonts w:ascii="Aptos" w:eastAsia="Aptos" w:hAnsi="Aptos" w:cs="Aptos"/>
          <w:szCs w:val="28"/>
          <w:lang w:val="en-GB" w:eastAsia="zh-CN" w:bidi="th-TH"/>
        </w:rPr>
        <w:t>Park</w:t>
      </w:r>
      <w:r w:rsidR="00CC7793">
        <w:rPr>
          <w:rFonts w:ascii="Aptos" w:eastAsia="Aptos" w:hAnsi="Aptos" w:cs="Aptos"/>
          <w:szCs w:val="28"/>
          <w:lang w:val="en-GB" w:eastAsia="zh-CN" w:bidi="th-TH"/>
        </w:rPr>
        <w:t xml:space="preserve"> et al. 2023a</w:t>
      </w:r>
      <w:r w:rsidR="00F140F0">
        <w:rPr>
          <w:highlight w:val="white"/>
          <w:lang w:val="en-GB" w:eastAsia="zh-CN" w:bidi="th-TH"/>
        </w:rPr>
        <w:t>).</w:t>
      </w:r>
    </w:p>
    <w:p w14:paraId="6A018997" w14:textId="2A59CE04" w:rsidR="00CE6B92" w:rsidRPr="00CE6B92" w:rsidRDefault="00CE6B92" w:rsidP="001B7F4E">
      <w:pPr>
        <w:rPr>
          <w:highlight w:val="white"/>
          <w:lang w:val="en-GB" w:eastAsia="zh-CN" w:bidi="th-TH"/>
        </w:rPr>
      </w:pPr>
      <w:r w:rsidRPr="00CE6B92">
        <w:rPr>
          <w:lang w:val="en-GB" w:eastAsia="zh-CN" w:bidi="th-TH"/>
        </w:rPr>
        <w:t>There are international examples of targeted information and media literacy programs addressing</w:t>
      </w:r>
      <w:r w:rsidR="00EA5229">
        <w:rPr>
          <w:lang w:val="en-GB" w:eastAsia="zh-CN" w:bidi="th-TH"/>
        </w:rPr>
        <w:t xml:space="preserve"> mis- </w:t>
      </w:r>
      <w:r w:rsidR="001B7F4E">
        <w:rPr>
          <w:lang w:val="en-GB" w:eastAsia="zh-CN" w:bidi="th-TH"/>
        </w:rPr>
        <w:t>and disinformation</w:t>
      </w:r>
      <w:r w:rsidRPr="00CE6B92">
        <w:rPr>
          <w:lang w:val="en-GB" w:eastAsia="zh-CN" w:bidi="th-TH"/>
        </w:rPr>
        <w:t xml:space="preserve"> that have been effectively delivered by or in collaboration with cultural and community institutions</w:t>
      </w:r>
      <w:r w:rsidR="00CC7793">
        <w:rPr>
          <w:lang w:val="en-GB" w:eastAsia="zh-CN" w:bidi="th-TH"/>
        </w:rPr>
        <w:t xml:space="preserve"> (</w:t>
      </w:r>
      <w:r w:rsidR="00CC7793" w:rsidRPr="00CE6B92">
        <w:rPr>
          <w:rFonts w:ascii="Aptos" w:eastAsia="Aptos" w:hAnsi="Aptos" w:cs="Aptos"/>
          <w:szCs w:val="28"/>
          <w:lang w:val="en-GB" w:eastAsia="zh-CN" w:bidi="th-TH"/>
        </w:rPr>
        <w:t>McBrien 2020</w:t>
      </w:r>
      <w:r w:rsidR="00CC7793">
        <w:rPr>
          <w:rFonts w:ascii="Aptos" w:eastAsia="Aptos" w:hAnsi="Aptos" w:cs="Aptos"/>
          <w:szCs w:val="28"/>
          <w:lang w:val="en-GB" w:eastAsia="zh-CN" w:bidi="th-TH"/>
        </w:rPr>
        <w:t xml:space="preserve">; </w:t>
      </w:r>
      <w:r w:rsidR="00CC7793" w:rsidRPr="00CE6B92">
        <w:rPr>
          <w:rFonts w:ascii="Aptos" w:eastAsia="Aptos" w:hAnsi="Aptos" w:cs="Aptos"/>
          <w:szCs w:val="28"/>
          <w:lang w:val="en-GB" w:eastAsia="zh-CN" w:bidi="th-TH"/>
        </w:rPr>
        <w:t>van der Staak and Wolf 2019</w:t>
      </w:r>
      <w:r w:rsidR="00CC7793">
        <w:rPr>
          <w:rFonts w:ascii="Aptos" w:eastAsia="Aptos" w:hAnsi="Aptos" w:cs="Aptos"/>
          <w:szCs w:val="28"/>
          <w:lang w:val="en-GB" w:eastAsia="zh-CN" w:bidi="th-TH"/>
        </w:rPr>
        <w:t>)</w:t>
      </w:r>
      <w:r w:rsidRPr="00CE6B92">
        <w:rPr>
          <w:lang w:val="en-GB" w:eastAsia="zh-CN" w:bidi="th-TH"/>
        </w:rPr>
        <w:t>.</w:t>
      </w:r>
      <w:r w:rsidR="00182C2E">
        <w:rPr>
          <w:lang w:val="en-GB" w:eastAsia="zh-CN" w:bidi="th-TH"/>
        </w:rPr>
        <w:t xml:space="preserve"> </w:t>
      </w:r>
      <w:r w:rsidRPr="00CE6B92">
        <w:rPr>
          <w:highlight w:val="white"/>
          <w:lang w:val="en-GB" w:eastAsia="zh-CN" w:bidi="th-TH"/>
        </w:rPr>
        <w:t xml:space="preserve">Launched in 2013, the National Library Board Singapore’s </w:t>
      </w:r>
      <w:r w:rsidR="00EE4108">
        <w:rPr>
          <w:highlight w:val="white"/>
          <w:lang w:val="en-GB" w:eastAsia="zh-CN" w:bidi="th-TH"/>
        </w:rPr>
        <w:t xml:space="preserve">(NLB) </w:t>
      </w:r>
      <w:r w:rsidRPr="00CE6B92">
        <w:rPr>
          <w:highlight w:val="white"/>
          <w:lang w:val="en-GB" w:eastAsia="zh-CN" w:bidi="th-TH"/>
        </w:rPr>
        <w:t xml:space="preserve">S.U.R.E. program (Source, Understand, Research, Evaluate) operates on the understanding that media and information literacy interventions tailored to specific groups and contexts are generally more </w:t>
      </w:r>
      <w:r w:rsidRPr="00CE6B92">
        <w:rPr>
          <w:lang w:val="en-GB" w:eastAsia="zh-CN" w:bidi="th-TH"/>
        </w:rPr>
        <w:t>effective in promoting awareness and skills adoption than a broad</w:t>
      </w:r>
      <w:r w:rsidR="001404FB">
        <w:rPr>
          <w:lang w:val="en-GB" w:eastAsia="zh-CN" w:bidi="th-TH"/>
        </w:rPr>
        <w:noBreakHyphen/>
      </w:r>
      <w:r w:rsidRPr="00CE6B92">
        <w:rPr>
          <w:lang w:val="en-GB" w:eastAsia="zh-CN" w:bidi="th-TH"/>
        </w:rPr>
        <w:t>based approach</w:t>
      </w:r>
      <w:r w:rsidR="00F140F0">
        <w:rPr>
          <w:lang w:val="en-GB" w:eastAsia="zh-CN" w:bidi="th-TH"/>
        </w:rPr>
        <w:t xml:space="preserve"> (</w:t>
      </w:r>
      <w:r w:rsidR="001E786E" w:rsidRPr="00CE6B92">
        <w:rPr>
          <w:rFonts w:ascii="Aptos" w:eastAsia="Aptos" w:hAnsi="Aptos" w:cs="Aptos"/>
          <w:szCs w:val="28"/>
          <w:lang w:val="en-GB" w:eastAsia="zh-CN" w:bidi="th-TH"/>
        </w:rPr>
        <w:t>Pek and Wang 2018</w:t>
      </w:r>
      <w:r w:rsidR="001E786E">
        <w:rPr>
          <w:rFonts w:ascii="Aptos" w:eastAsia="Aptos" w:hAnsi="Aptos" w:cs="Aptos"/>
          <w:szCs w:val="28"/>
          <w:lang w:val="en-GB" w:eastAsia="zh-CN" w:bidi="th-TH"/>
        </w:rPr>
        <w:t xml:space="preserve">; </w:t>
      </w:r>
      <w:proofErr w:type="spellStart"/>
      <w:r w:rsidR="001E786E" w:rsidRPr="00CE6B92">
        <w:rPr>
          <w:rFonts w:ascii="Aptos" w:eastAsia="Aptos" w:hAnsi="Aptos" w:cs="Aptos"/>
          <w:szCs w:val="28"/>
          <w:lang w:val="en-GB" w:eastAsia="zh-CN" w:bidi="th-TH"/>
        </w:rPr>
        <w:t>Revez</w:t>
      </w:r>
      <w:proofErr w:type="spellEnd"/>
      <w:r w:rsidR="001E786E" w:rsidRPr="00CE6B92">
        <w:rPr>
          <w:rFonts w:ascii="Aptos" w:eastAsia="Aptos" w:hAnsi="Aptos" w:cs="Aptos"/>
          <w:szCs w:val="28"/>
          <w:lang w:val="en-GB" w:eastAsia="zh-CN" w:bidi="th-TH"/>
        </w:rPr>
        <w:t xml:space="preserve"> and Corujo 2021</w:t>
      </w:r>
      <w:r w:rsidR="00F140F0">
        <w:rPr>
          <w:lang w:val="en-GB" w:eastAsia="zh-CN" w:bidi="th-TH"/>
        </w:rPr>
        <w:t>).</w:t>
      </w:r>
      <w:r w:rsidR="00182C2E" w:rsidRPr="00A15AEA">
        <w:rPr>
          <w:lang w:val="en-GB" w:eastAsia="zh-CN" w:bidi="th-TH"/>
        </w:rPr>
        <w:t xml:space="preserve"> </w:t>
      </w:r>
      <w:r w:rsidRPr="00CE6B92">
        <w:rPr>
          <w:highlight w:val="white"/>
          <w:lang w:val="en-GB" w:eastAsia="zh-CN" w:bidi="th-TH"/>
        </w:rPr>
        <w:t>Initially</w:t>
      </w:r>
      <w:r w:rsidR="00C024E2">
        <w:rPr>
          <w:highlight w:val="white"/>
          <w:lang w:val="en-GB" w:eastAsia="zh-CN" w:bidi="th-TH"/>
        </w:rPr>
        <w:t> </w:t>
      </w:r>
      <w:r w:rsidRPr="00CE6B92">
        <w:rPr>
          <w:highlight w:val="white"/>
          <w:lang w:val="en-GB" w:eastAsia="zh-CN" w:bidi="th-TH"/>
        </w:rPr>
        <w:t xml:space="preserve">designed for students and teachers, the program has been expanded and adapted for workplaces and the public. The resources and activities are diverse and </w:t>
      </w:r>
      <w:r w:rsidRPr="00CE6B92">
        <w:rPr>
          <w:highlight w:val="white"/>
          <w:lang w:val="en-GB" w:eastAsia="zh-CN" w:bidi="th-TH"/>
        </w:rPr>
        <w:lastRenderedPageBreak/>
        <w:t>innovative, including curriculum</w:t>
      </w:r>
      <w:r w:rsidR="001404FB">
        <w:rPr>
          <w:highlight w:val="white"/>
          <w:lang w:val="en-GB" w:eastAsia="zh-CN" w:bidi="th-TH"/>
        </w:rPr>
        <w:noBreakHyphen/>
      </w:r>
      <w:r w:rsidRPr="00CE6B92">
        <w:rPr>
          <w:highlight w:val="white"/>
          <w:lang w:val="en-GB" w:eastAsia="zh-CN" w:bidi="th-TH"/>
        </w:rPr>
        <w:t>aligned materials delivered in schools, professional development courses, and travelling workshops and displays in public libraries. Resources are multilingual, age appropriate (e.g. plain language guides for seniors) and available in a range of formats, including videos and infographics</w:t>
      </w:r>
      <w:r w:rsidR="00F140F0">
        <w:rPr>
          <w:highlight w:val="white"/>
          <w:lang w:val="en-GB" w:eastAsia="zh-CN" w:bidi="th-TH"/>
        </w:rPr>
        <w:t xml:space="preserve"> (</w:t>
      </w:r>
      <w:r w:rsidR="00053FC1">
        <w:rPr>
          <w:rFonts w:ascii="Aptos" w:eastAsia="Aptos" w:hAnsi="Aptos" w:cs="Aptos"/>
          <w:szCs w:val="28"/>
          <w:lang w:val="en-GB" w:eastAsia="zh-CN" w:bidi="th-TH"/>
        </w:rPr>
        <w:t>NLB</w:t>
      </w:r>
      <w:r w:rsidR="001E786E" w:rsidRPr="001E786E">
        <w:rPr>
          <w:rFonts w:ascii="Aptos" w:eastAsia="Aptos" w:hAnsi="Aptos" w:cs="Aptos"/>
          <w:szCs w:val="28"/>
          <w:lang w:val="en-GB" w:eastAsia="zh-CN" w:bidi="th-TH"/>
        </w:rPr>
        <w:t xml:space="preserve"> 2025a</w:t>
      </w:r>
      <w:r w:rsidR="00053FC1">
        <w:rPr>
          <w:rFonts w:ascii="Aptos" w:eastAsia="Aptos" w:hAnsi="Aptos" w:cs="Aptos"/>
          <w:szCs w:val="28"/>
          <w:lang w:val="en-GB" w:eastAsia="zh-CN" w:bidi="th-TH"/>
        </w:rPr>
        <w:t>,</w:t>
      </w:r>
      <w:r w:rsidR="001E786E" w:rsidRPr="001E786E">
        <w:rPr>
          <w:rFonts w:ascii="Aptos" w:eastAsia="Aptos" w:hAnsi="Aptos" w:cs="Aptos"/>
          <w:szCs w:val="28"/>
          <w:lang w:val="en-GB" w:eastAsia="zh-CN" w:bidi="th-TH"/>
        </w:rPr>
        <w:t xml:space="preserve"> 2025b</w:t>
      </w:r>
      <w:r w:rsidR="001E786E">
        <w:rPr>
          <w:rFonts w:ascii="Aptos" w:eastAsia="Aptos" w:hAnsi="Aptos" w:cs="Aptos"/>
          <w:szCs w:val="28"/>
          <w:lang w:val="en-GB" w:eastAsia="zh-CN" w:bidi="th-TH"/>
        </w:rPr>
        <w:t xml:space="preserve">; </w:t>
      </w:r>
      <w:r w:rsidR="001E786E" w:rsidRPr="00CE6B92">
        <w:rPr>
          <w:rFonts w:ascii="Aptos" w:eastAsia="Aptos" w:hAnsi="Aptos" w:cs="Aptos"/>
          <w:szCs w:val="28"/>
          <w:lang w:val="en-GB" w:eastAsia="zh-CN" w:bidi="th-TH"/>
        </w:rPr>
        <w:t>Pek and Wang 2018</w:t>
      </w:r>
      <w:r w:rsidR="001E786E">
        <w:rPr>
          <w:rFonts w:ascii="Aptos" w:eastAsia="Aptos" w:hAnsi="Aptos" w:cs="Aptos"/>
          <w:szCs w:val="28"/>
          <w:lang w:val="en-GB" w:eastAsia="zh-CN" w:bidi="th-TH"/>
        </w:rPr>
        <w:t xml:space="preserve">; </w:t>
      </w:r>
      <w:proofErr w:type="spellStart"/>
      <w:r w:rsidR="001E786E" w:rsidRPr="00CE6B92">
        <w:rPr>
          <w:rFonts w:ascii="Aptos" w:eastAsia="Aptos" w:hAnsi="Aptos" w:cs="Aptos"/>
          <w:szCs w:val="28"/>
          <w:lang w:val="en-GB" w:eastAsia="zh-CN" w:bidi="th-TH"/>
        </w:rPr>
        <w:t>Revez</w:t>
      </w:r>
      <w:proofErr w:type="spellEnd"/>
      <w:r w:rsidR="001E786E" w:rsidRPr="00CE6B92">
        <w:rPr>
          <w:rFonts w:ascii="Aptos" w:eastAsia="Aptos" w:hAnsi="Aptos" w:cs="Aptos"/>
          <w:szCs w:val="28"/>
          <w:lang w:val="en-GB" w:eastAsia="zh-CN" w:bidi="th-TH"/>
        </w:rPr>
        <w:t xml:space="preserve"> and Corujo 2021</w:t>
      </w:r>
      <w:r w:rsidR="00F140F0" w:rsidRPr="001E786E">
        <w:rPr>
          <w:lang w:val="en-GB" w:eastAsia="zh-CN" w:bidi="th-TH"/>
        </w:rPr>
        <w:t>).</w:t>
      </w:r>
    </w:p>
    <w:p w14:paraId="58084D2E" w14:textId="069BB9C8" w:rsidR="00CE6B92" w:rsidRPr="00CE6B92" w:rsidRDefault="00CE6B92" w:rsidP="001B7F4E">
      <w:pPr>
        <w:rPr>
          <w:rFonts w:ascii="Aptos" w:eastAsia="Aptos" w:hAnsi="Aptos" w:cs="Aptos"/>
          <w:lang w:val="en-GB" w:eastAsia="zh-CN" w:bidi="th-TH"/>
        </w:rPr>
      </w:pPr>
      <w:r w:rsidRPr="00CE6B92">
        <w:rPr>
          <w:rFonts w:ascii="Aptos" w:eastAsia="Aptos" w:hAnsi="Aptos" w:cs="Aptos"/>
          <w:lang w:val="en-GB" w:eastAsia="zh-CN" w:bidi="th-TH"/>
        </w:rPr>
        <w:t>In Australia, the AEC’s trusted status helps it educate the public and vouch for credible, accurate electoral information in a changing information environment.</w:t>
      </w:r>
      <w:r w:rsidR="00C41085">
        <w:rPr>
          <w:rFonts w:ascii="Aptos" w:eastAsia="Aptos" w:hAnsi="Aptos" w:cs="Aptos"/>
          <w:lang w:val="en-GB" w:eastAsia="zh-CN" w:bidi="th-TH"/>
        </w:rPr>
        <w:t xml:space="preserve"> T</w:t>
      </w:r>
      <w:r w:rsidRPr="00CE6B92">
        <w:rPr>
          <w:rFonts w:ascii="Aptos" w:eastAsia="Aptos" w:hAnsi="Aptos" w:cs="Aptos"/>
          <w:highlight w:val="white"/>
          <w:lang w:val="en-GB" w:eastAsia="zh-CN" w:bidi="th-TH"/>
        </w:rPr>
        <w:t xml:space="preserve">he AEC’s </w:t>
      </w:r>
      <w:r w:rsidRPr="008702A4">
        <w:rPr>
          <w:rStyle w:val="Emphasis"/>
        </w:rPr>
        <w:t>Stop and Consider</w:t>
      </w:r>
      <w:r w:rsidRPr="00CE6B92">
        <w:rPr>
          <w:rFonts w:ascii="Aptos" w:eastAsia="Aptos" w:hAnsi="Aptos" w:cs="Aptos"/>
          <w:lang w:val="en-GB" w:eastAsia="zh-CN" w:bidi="th-TH"/>
        </w:rPr>
        <w:t xml:space="preserve"> campaign </w:t>
      </w:r>
      <w:r w:rsidRPr="00CE6B92">
        <w:rPr>
          <w:rFonts w:ascii="Aptos" w:eastAsia="Aptos" w:hAnsi="Aptos" w:cs="Aptos"/>
          <w:highlight w:val="white"/>
          <w:lang w:val="en-GB" w:eastAsia="zh-CN" w:bidi="th-TH"/>
        </w:rPr>
        <w:t>encourages voters to check the sources of electoral information. The campaign includes probing questions about the reliability, currency and safety of information and a disinformation register which publicly lists and corrects electoral</w:t>
      </w:r>
      <w:r w:rsidR="00EA5229">
        <w:rPr>
          <w:rFonts w:ascii="Aptos" w:eastAsia="Aptos" w:hAnsi="Aptos" w:cs="Aptos"/>
          <w:highlight w:val="white"/>
          <w:lang w:val="en-GB" w:eastAsia="zh-CN" w:bidi="th-TH"/>
        </w:rPr>
        <w:t xml:space="preserve"> mis- </w:t>
      </w:r>
      <w:r w:rsidR="001B7F4E">
        <w:rPr>
          <w:rFonts w:ascii="Aptos" w:eastAsia="Aptos" w:hAnsi="Aptos" w:cs="Aptos"/>
          <w:highlight w:val="white"/>
          <w:lang w:val="en-GB" w:eastAsia="zh-CN" w:bidi="th-TH"/>
        </w:rPr>
        <w:t>and disinformation</w:t>
      </w:r>
      <w:r w:rsidRPr="00CE6B92">
        <w:rPr>
          <w:rFonts w:ascii="Aptos" w:eastAsia="Aptos" w:hAnsi="Aptos" w:cs="Aptos"/>
          <w:highlight w:val="white"/>
          <w:lang w:val="en-GB" w:eastAsia="zh-CN" w:bidi="th-TH"/>
        </w:rPr>
        <w:t xml:space="preserve"> identified during federal elections and referenda</w:t>
      </w:r>
      <w:r w:rsidR="00F140F0">
        <w:rPr>
          <w:rFonts w:ascii="Aptos" w:eastAsia="Aptos" w:hAnsi="Aptos" w:cs="Aptos"/>
          <w:highlight w:val="white"/>
          <w:lang w:val="en-GB" w:eastAsia="zh-CN" w:bidi="th-TH"/>
        </w:rPr>
        <w:t xml:space="preserve"> (</w:t>
      </w:r>
      <w:r w:rsidR="001E786E">
        <w:rPr>
          <w:rFonts w:ascii="Aptos" w:eastAsia="Aptos" w:hAnsi="Aptos" w:cs="Aptos"/>
          <w:highlight w:val="white"/>
          <w:lang w:val="en-GB" w:eastAsia="zh-CN" w:bidi="th-TH"/>
        </w:rPr>
        <w:t>AEC 2024b</w:t>
      </w:r>
      <w:r w:rsidR="00C503F2">
        <w:rPr>
          <w:rFonts w:ascii="Aptos" w:eastAsia="Aptos" w:hAnsi="Aptos" w:cs="Aptos"/>
          <w:highlight w:val="white"/>
          <w:lang w:val="en-GB" w:eastAsia="zh-CN" w:bidi="th-TH"/>
        </w:rPr>
        <w:t xml:space="preserve">, </w:t>
      </w:r>
      <w:r w:rsidR="001E786E">
        <w:rPr>
          <w:rFonts w:ascii="Aptos" w:eastAsia="Aptos" w:hAnsi="Aptos" w:cs="Aptos"/>
          <w:highlight w:val="white"/>
          <w:lang w:val="en-GB" w:eastAsia="zh-CN" w:bidi="th-TH"/>
        </w:rPr>
        <w:t>2024c</w:t>
      </w:r>
      <w:r w:rsidR="00C503F2">
        <w:rPr>
          <w:rFonts w:ascii="Aptos" w:eastAsia="Aptos" w:hAnsi="Aptos" w:cs="Aptos"/>
          <w:highlight w:val="white"/>
          <w:lang w:val="en-GB" w:eastAsia="zh-CN" w:bidi="th-TH"/>
        </w:rPr>
        <w:t xml:space="preserve">, </w:t>
      </w:r>
      <w:r w:rsidR="001E786E">
        <w:rPr>
          <w:rFonts w:ascii="Aptos" w:eastAsia="Aptos" w:hAnsi="Aptos" w:cs="Aptos"/>
          <w:highlight w:val="white"/>
          <w:lang w:val="en-GB" w:eastAsia="zh-CN" w:bidi="th-TH"/>
        </w:rPr>
        <w:t>2020</w:t>
      </w:r>
      <w:r w:rsidR="00F140F0">
        <w:rPr>
          <w:rFonts w:ascii="Aptos" w:eastAsia="Aptos" w:hAnsi="Aptos" w:cs="Aptos"/>
          <w:highlight w:val="white"/>
          <w:lang w:val="en-GB" w:eastAsia="zh-CN" w:bidi="th-TH"/>
        </w:rPr>
        <w:t>).</w:t>
      </w:r>
      <w:r w:rsidR="00A310FE">
        <w:rPr>
          <w:rFonts w:ascii="Aptos" w:eastAsia="Aptos" w:hAnsi="Aptos" w:cs="Aptos"/>
          <w:highlight w:val="white"/>
          <w:lang w:val="en-GB" w:eastAsia="zh-CN" w:bidi="th-TH"/>
        </w:rPr>
        <w:t xml:space="preserve"> </w:t>
      </w:r>
      <w:r w:rsidRPr="00CE6B92">
        <w:rPr>
          <w:rFonts w:ascii="Aptos" w:eastAsia="Aptos" w:hAnsi="Aptos" w:cs="Aptos"/>
          <w:highlight w:val="white"/>
          <w:lang w:val="en-GB" w:eastAsia="zh-CN" w:bidi="th-TH"/>
        </w:rPr>
        <w:t>The 2023 Voice to Parliament referendum tested the suitability of AEC measures to mitigate</w:t>
      </w:r>
      <w:r w:rsidR="00EA5229">
        <w:rPr>
          <w:rFonts w:ascii="Aptos" w:eastAsia="Aptos" w:hAnsi="Aptos" w:cs="Aptos"/>
          <w:highlight w:val="white"/>
          <w:lang w:val="en-GB" w:eastAsia="zh-CN" w:bidi="th-TH"/>
        </w:rPr>
        <w:t xml:space="preserve"> mis- </w:t>
      </w:r>
      <w:r w:rsidR="001B7F4E">
        <w:rPr>
          <w:rFonts w:ascii="Aptos" w:eastAsia="Aptos" w:hAnsi="Aptos" w:cs="Aptos"/>
          <w:highlight w:val="white"/>
          <w:lang w:val="en-GB" w:eastAsia="zh-CN" w:bidi="th-TH"/>
        </w:rPr>
        <w:t>and disinformation</w:t>
      </w:r>
      <w:r w:rsidRPr="00CE6B92">
        <w:rPr>
          <w:rFonts w:ascii="Aptos" w:eastAsia="Aptos" w:hAnsi="Aptos" w:cs="Aptos"/>
          <w:highlight w:val="white"/>
          <w:lang w:val="en-GB" w:eastAsia="zh-CN" w:bidi="th-TH"/>
        </w:rPr>
        <w:t xml:space="preserve"> and buttress trust in the electoral system. As the first Australian referendum to occur in the complex digital media landscape, and with concerted efforts to spread polarising and misleading information, including about the AEC,</w:t>
      </w:r>
      <w:r w:rsidR="00EA5229">
        <w:rPr>
          <w:rFonts w:ascii="Aptos" w:eastAsia="Aptos" w:hAnsi="Aptos" w:cs="Aptos"/>
          <w:highlight w:val="white"/>
          <w:lang w:val="en-GB" w:eastAsia="zh-CN" w:bidi="th-TH"/>
        </w:rPr>
        <w:t xml:space="preserve"> mis- </w:t>
      </w:r>
      <w:r w:rsidR="001B7F4E">
        <w:rPr>
          <w:rFonts w:ascii="Aptos" w:eastAsia="Aptos" w:hAnsi="Aptos" w:cs="Aptos"/>
          <w:highlight w:val="white"/>
          <w:lang w:val="en-GB" w:eastAsia="zh-CN" w:bidi="th-TH"/>
        </w:rPr>
        <w:t>and disinformation</w:t>
      </w:r>
      <w:r w:rsidRPr="00CE6B92">
        <w:rPr>
          <w:rFonts w:ascii="Aptos" w:eastAsia="Aptos" w:hAnsi="Aptos" w:cs="Aptos"/>
          <w:highlight w:val="white"/>
          <w:lang w:val="en-GB" w:eastAsia="zh-CN" w:bidi="th-TH"/>
        </w:rPr>
        <w:t xml:space="preserve"> was a challenge for electoral integrity and trust throughout the referendum</w:t>
      </w:r>
      <w:r w:rsidR="00F140F0">
        <w:rPr>
          <w:rFonts w:ascii="Aptos" w:eastAsia="Aptos" w:hAnsi="Aptos" w:cs="Aptos"/>
          <w:highlight w:val="white"/>
          <w:lang w:val="en-GB" w:eastAsia="zh-CN" w:bidi="th-TH"/>
        </w:rPr>
        <w:t xml:space="preserve"> (</w:t>
      </w:r>
      <w:r w:rsidR="004978AC" w:rsidRPr="00CE6B92">
        <w:rPr>
          <w:rFonts w:ascii="Aptos" w:eastAsia="Aptos" w:hAnsi="Aptos" w:cs="Aptos"/>
          <w:szCs w:val="28"/>
          <w:lang w:val="en-GB" w:eastAsia="zh-CN" w:bidi="th-TH"/>
        </w:rPr>
        <w:t>Carson</w:t>
      </w:r>
      <w:r w:rsidR="004978AC">
        <w:rPr>
          <w:rFonts w:ascii="Aptos" w:eastAsia="Aptos" w:hAnsi="Aptos" w:cs="Aptos"/>
          <w:szCs w:val="28"/>
          <w:lang w:val="en-GB" w:eastAsia="zh-CN" w:bidi="th-TH"/>
        </w:rPr>
        <w:t xml:space="preserve"> et al. 2024; </w:t>
      </w:r>
      <w:r w:rsidR="004978AC" w:rsidRPr="00CE6B92">
        <w:rPr>
          <w:rFonts w:ascii="Aptos" w:eastAsia="Aptos" w:hAnsi="Aptos" w:cs="Aptos"/>
          <w:szCs w:val="28"/>
          <w:lang w:val="en-GB" w:eastAsia="zh-CN" w:bidi="th-TH"/>
        </w:rPr>
        <w:t>McAllister and Biddle 2024</w:t>
      </w:r>
      <w:r w:rsidR="00F140F0">
        <w:rPr>
          <w:rFonts w:ascii="Aptos" w:eastAsia="Aptos" w:hAnsi="Aptos" w:cs="Aptos"/>
          <w:highlight w:val="white"/>
          <w:lang w:val="en-GB" w:eastAsia="zh-CN" w:bidi="th-TH"/>
        </w:rPr>
        <w:t>).</w:t>
      </w:r>
      <w:r w:rsidRPr="00A15AEA">
        <w:rPr>
          <w:rFonts w:ascii="Aptos" w:eastAsia="Aptos" w:hAnsi="Aptos" w:cs="Aptos"/>
          <w:highlight w:val="white"/>
          <w:lang w:val="en-GB" w:eastAsia="zh-CN" w:bidi="th-TH"/>
        </w:rPr>
        <w:t xml:space="preserve"> </w:t>
      </w:r>
      <w:r w:rsidRPr="00CE6B92">
        <w:rPr>
          <w:rFonts w:ascii="Aptos" w:eastAsia="Aptos" w:hAnsi="Aptos" w:cs="Aptos"/>
          <w:lang w:val="en-GB" w:eastAsia="zh-CN" w:bidi="th-TH"/>
        </w:rPr>
        <w:t xml:space="preserve">Exit poll data found that </w:t>
      </w:r>
      <w:r w:rsidR="00070959">
        <w:rPr>
          <w:rFonts w:ascii="Aptos" w:eastAsia="Aptos" w:hAnsi="Aptos" w:cs="Aptos"/>
          <w:lang w:val="en-GB" w:eastAsia="zh-CN" w:bidi="th-TH"/>
        </w:rPr>
        <w:t>7</w:t>
      </w:r>
      <w:r w:rsidRPr="00CE6B92">
        <w:rPr>
          <w:rFonts w:ascii="Aptos" w:eastAsia="Aptos" w:hAnsi="Aptos" w:cs="Aptos"/>
          <w:lang w:val="en-GB" w:eastAsia="zh-CN" w:bidi="th-TH"/>
        </w:rPr>
        <w:t xml:space="preserve"> in </w:t>
      </w:r>
      <w:r w:rsidR="00070959">
        <w:rPr>
          <w:rFonts w:ascii="Aptos" w:eastAsia="Aptos" w:hAnsi="Aptos" w:cs="Aptos"/>
          <w:lang w:val="en-GB" w:eastAsia="zh-CN" w:bidi="th-TH"/>
        </w:rPr>
        <w:t>10</w:t>
      </w:r>
      <w:r w:rsidRPr="00CE6B92">
        <w:rPr>
          <w:rFonts w:ascii="Aptos" w:eastAsia="Aptos" w:hAnsi="Aptos" w:cs="Aptos"/>
          <w:lang w:val="en-GB" w:eastAsia="zh-CN" w:bidi="th-TH"/>
        </w:rPr>
        <w:t xml:space="preserve"> Australians were concerned about</w:t>
      </w:r>
      <w:r w:rsidR="00EA5229">
        <w:rPr>
          <w:rFonts w:ascii="Aptos" w:eastAsia="Aptos" w:hAnsi="Aptos" w:cs="Aptos"/>
          <w:lang w:val="en-GB" w:eastAsia="zh-CN" w:bidi="th-TH"/>
        </w:rPr>
        <w:t xml:space="preserve"> mis- </w:t>
      </w:r>
      <w:r w:rsidR="001B7F4E">
        <w:rPr>
          <w:rFonts w:ascii="Aptos" w:eastAsia="Aptos" w:hAnsi="Aptos" w:cs="Aptos"/>
          <w:lang w:val="en-GB" w:eastAsia="zh-CN" w:bidi="th-TH"/>
        </w:rPr>
        <w:t>and disinformation</w:t>
      </w:r>
      <w:r w:rsidRPr="00CE6B92">
        <w:rPr>
          <w:rFonts w:ascii="Aptos" w:eastAsia="Aptos" w:hAnsi="Aptos" w:cs="Aptos"/>
          <w:lang w:val="en-GB" w:eastAsia="zh-CN" w:bidi="th-TH"/>
        </w:rPr>
        <w:t xml:space="preserve"> during the referendum period</w:t>
      </w:r>
      <w:r w:rsidR="004978AC">
        <w:rPr>
          <w:rFonts w:ascii="Aptos" w:eastAsia="Aptos" w:hAnsi="Aptos" w:cs="Aptos"/>
          <w:lang w:val="en-GB" w:eastAsia="zh-CN" w:bidi="th-TH"/>
        </w:rPr>
        <w:t xml:space="preserve"> (</w:t>
      </w:r>
      <w:r w:rsidR="004978AC" w:rsidRPr="00CE6B92">
        <w:rPr>
          <w:rFonts w:ascii="Aptos" w:eastAsia="Aptos" w:hAnsi="Aptos" w:cs="Aptos"/>
          <w:szCs w:val="28"/>
          <w:lang w:val="en-GB" w:eastAsia="zh-CN" w:bidi="th-TH"/>
        </w:rPr>
        <w:t>Browne 2023</w:t>
      </w:r>
      <w:r w:rsidR="004978AC">
        <w:rPr>
          <w:rFonts w:ascii="Aptos" w:eastAsia="Aptos" w:hAnsi="Aptos" w:cs="Aptos"/>
          <w:szCs w:val="28"/>
          <w:lang w:val="en-GB" w:eastAsia="zh-CN" w:bidi="th-TH"/>
        </w:rPr>
        <w:t>)</w:t>
      </w:r>
      <w:r w:rsidRPr="00CE6B92">
        <w:rPr>
          <w:rFonts w:ascii="Aptos" w:eastAsia="Aptos" w:hAnsi="Aptos" w:cs="Aptos"/>
          <w:lang w:val="en-GB" w:eastAsia="zh-CN" w:bidi="th-TH"/>
        </w:rPr>
        <w:t>, arguably reaffirming previously noted evidence of public demand for</w:t>
      </w:r>
      <w:r w:rsidR="00EA5229">
        <w:rPr>
          <w:rFonts w:ascii="Aptos" w:eastAsia="Aptos" w:hAnsi="Aptos" w:cs="Aptos"/>
          <w:lang w:val="en-GB" w:eastAsia="zh-CN" w:bidi="th-TH"/>
        </w:rPr>
        <w:t xml:space="preserve"> mis- </w:t>
      </w:r>
      <w:r w:rsidR="001B7F4E">
        <w:rPr>
          <w:rFonts w:ascii="Aptos" w:eastAsia="Aptos" w:hAnsi="Aptos" w:cs="Aptos"/>
          <w:lang w:val="en-GB" w:eastAsia="zh-CN" w:bidi="th-TH"/>
        </w:rPr>
        <w:t>and disinformation</w:t>
      </w:r>
      <w:r w:rsidRPr="00CE6B92">
        <w:rPr>
          <w:rFonts w:ascii="Aptos" w:eastAsia="Aptos" w:hAnsi="Aptos" w:cs="Aptos"/>
          <w:lang w:val="en-GB" w:eastAsia="zh-CN" w:bidi="th-TH"/>
        </w:rPr>
        <w:t xml:space="preserve"> education. In</w:t>
      </w:r>
      <w:r w:rsidR="008702A4">
        <w:rPr>
          <w:rFonts w:ascii="Aptos" w:eastAsia="Aptos" w:hAnsi="Aptos" w:cs="Aptos"/>
          <w:lang w:val="en-GB" w:eastAsia="zh-CN" w:bidi="th-TH"/>
        </w:rPr>
        <w:t> </w:t>
      </w:r>
      <w:r w:rsidRPr="00CE6B92">
        <w:rPr>
          <w:rFonts w:ascii="Aptos" w:eastAsia="Aptos" w:hAnsi="Aptos" w:cs="Aptos"/>
          <w:lang w:val="en-GB" w:eastAsia="zh-CN" w:bidi="th-TH"/>
        </w:rPr>
        <w:t xml:space="preserve">addition to </w:t>
      </w:r>
      <w:r w:rsidRPr="008702A4">
        <w:rPr>
          <w:rStyle w:val="Emphasis"/>
        </w:rPr>
        <w:t>Stop and Consider</w:t>
      </w:r>
      <w:r w:rsidRPr="00CE6B92">
        <w:rPr>
          <w:rFonts w:ascii="Aptos" w:eastAsia="Aptos" w:hAnsi="Aptos" w:cs="Aptos"/>
          <w:lang w:val="en-GB" w:eastAsia="zh-CN" w:bidi="th-TH"/>
        </w:rPr>
        <w:t xml:space="preserve">, the </w:t>
      </w:r>
      <w:r w:rsidRPr="00CE6B92">
        <w:rPr>
          <w:rFonts w:ascii="Aptos" w:eastAsia="Aptos" w:hAnsi="Aptos" w:cs="Aptos"/>
          <w:highlight w:val="white"/>
          <w:lang w:val="en-GB" w:eastAsia="zh-CN" w:bidi="th-TH"/>
        </w:rPr>
        <w:t xml:space="preserve">AEC oversaw an advertising and social media campaign and </w:t>
      </w:r>
      <w:r w:rsidRPr="00CE6B92">
        <w:rPr>
          <w:rFonts w:ascii="Aptos" w:eastAsia="Aptos" w:hAnsi="Aptos" w:cs="Aptos"/>
          <w:lang w:val="en-GB" w:eastAsia="zh-CN" w:bidi="th-TH"/>
        </w:rPr>
        <w:t>a dedicated education program, running more than 300</w:t>
      </w:r>
      <w:r w:rsidR="00EA5229">
        <w:rPr>
          <w:rFonts w:ascii="Aptos" w:eastAsia="Aptos" w:hAnsi="Aptos" w:cs="Aptos"/>
          <w:lang w:val="en-GB" w:eastAsia="zh-CN" w:bidi="th-TH"/>
        </w:rPr>
        <w:t> </w:t>
      </w:r>
      <w:r w:rsidRPr="00CE6B92">
        <w:rPr>
          <w:rFonts w:ascii="Aptos" w:eastAsia="Aptos" w:hAnsi="Aptos" w:cs="Aptos"/>
          <w:lang w:val="en-GB" w:eastAsia="zh-CN" w:bidi="th-TH"/>
        </w:rPr>
        <w:t>community education sessions</w:t>
      </w:r>
      <w:r w:rsidR="00F140F0">
        <w:rPr>
          <w:rFonts w:ascii="Aptos" w:eastAsia="Aptos" w:hAnsi="Aptos" w:cs="Aptos"/>
          <w:lang w:val="en-GB" w:eastAsia="zh-CN" w:bidi="th-TH"/>
        </w:rPr>
        <w:t xml:space="preserve"> (</w:t>
      </w:r>
      <w:r w:rsidR="004978AC">
        <w:rPr>
          <w:rFonts w:ascii="Aptos" w:eastAsia="Aptos" w:hAnsi="Aptos" w:cs="Aptos"/>
          <w:lang w:val="en-GB" w:eastAsia="zh-CN" w:bidi="th-TH"/>
        </w:rPr>
        <w:t xml:space="preserve">AEC 2024a; </w:t>
      </w:r>
      <w:r w:rsidR="004978AC" w:rsidRPr="00CE6B92">
        <w:rPr>
          <w:rFonts w:ascii="Aptos" w:eastAsia="Aptos" w:hAnsi="Aptos" w:cs="Aptos"/>
          <w:szCs w:val="28"/>
          <w:lang w:val="en-GB" w:eastAsia="zh-CN" w:bidi="th-TH"/>
        </w:rPr>
        <w:t>Strengthening Democracy Taskforce 2024</w:t>
      </w:r>
      <w:r w:rsidR="00F140F0">
        <w:rPr>
          <w:rFonts w:ascii="Aptos" w:eastAsia="Aptos" w:hAnsi="Aptos" w:cs="Aptos"/>
          <w:lang w:val="en-GB" w:eastAsia="zh-CN" w:bidi="th-TH"/>
        </w:rPr>
        <w:t>).</w:t>
      </w:r>
    </w:p>
    <w:p w14:paraId="5185CA0E" w14:textId="6C69BD26" w:rsidR="00CE6B92" w:rsidRPr="00CE6B92" w:rsidRDefault="00CE6B92" w:rsidP="001B7F4E">
      <w:pPr>
        <w:rPr>
          <w:rFonts w:ascii="Aptos" w:eastAsia="Aptos" w:hAnsi="Aptos" w:cs="Aptos"/>
          <w:lang w:val="en-GB" w:eastAsia="zh-CN" w:bidi="th-TH"/>
        </w:rPr>
      </w:pPr>
      <w:r w:rsidRPr="00CE6B92">
        <w:rPr>
          <w:rFonts w:ascii="Aptos" w:eastAsia="Aptos" w:hAnsi="Aptos" w:cs="Aptos"/>
          <w:highlight w:val="white"/>
          <w:lang w:val="en-GB" w:eastAsia="zh-CN" w:bidi="th-TH"/>
        </w:rPr>
        <w:t>While evidence supports the merit of</w:t>
      </w:r>
      <w:r w:rsidR="00EA5229">
        <w:rPr>
          <w:rFonts w:ascii="Aptos" w:eastAsia="Aptos" w:hAnsi="Aptos" w:cs="Aptos"/>
          <w:highlight w:val="white"/>
          <w:lang w:val="en-GB" w:eastAsia="zh-CN" w:bidi="th-TH"/>
        </w:rPr>
        <w:t xml:space="preserve"> mis- </w:t>
      </w:r>
      <w:r w:rsidR="001B7F4E">
        <w:rPr>
          <w:rFonts w:ascii="Aptos" w:eastAsia="Aptos" w:hAnsi="Aptos" w:cs="Aptos"/>
          <w:highlight w:val="white"/>
          <w:lang w:val="en-GB" w:eastAsia="zh-CN" w:bidi="th-TH"/>
        </w:rPr>
        <w:t>and disinformation</w:t>
      </w:r>
      <w:r w:rsidRPr="00CE6B92">
        <w:rPr>
          <w:rFonts w:ascii="Aptos" w:eastAsia="Aptos" w:hAnsi="Aptos" w:cs="Aptos"/>
          <w:highlight w:val="white"/>
          <w:lang w:val="en-GB" w:eastAsia="zh-CN" w:bidi="th-TH"/>
        </w:rPr>
        <w:t xml:space="preserve"> interventions, particularly those targeting information and media literacy, some interventions have been observed to </w:t>
      </w:r>
      <w:r w:rsidRPr="00CE6B92">
        <w:rPr>
          <w:rFonts w:ascii="Aptos" w:eastAsia="Aptos" w:hAnsi="Aptos" w:cs="Aptos"/>
          <w:lang w:val="en-GB" w:eastAsia="zh-CN" w:bidi="th-TH"/>
        </w:rPr>
        <w:t xml:space="preserve">prime </w:t>
      </w:r>
      <w:r w:rsidRPr="00CE6B92">
        <w:rPr>
          <w:rFonts w:ascii="Aptos" w:eastAsia="Aptos" w:hAnsi="Aptos" w:cs="Aptos"/>
          <w:highlight w:val="white"/>
          <w:lang w:val="en-GB" w:eastAsia="zh-CN" w:bidi="th-TH"/>
        </w:rPr>
        <w:t>individuals for heightened scepticism with the unintended consequence of negatively impacting the credibility of the source of information</w:t>
      </w:r>
      <w:r w:rsidR="00F140F0">
        <w:rPr>
          <w:rFonts w:ascii="Aptos" w:eastAsia="Aptos" w:hAnsi="Aptos" w:cs="Aptos"/>
          <w:highlight w:val="white"/>
          <w:lang w:val="en-GB" w:eastAsia="zh-CN" w:bidi="th-TH"/>
        </w:rPr>
        <w:t xml:space="preserve"> (</w:t>
      </w:r>
      <w:r w:rsidR="00747A37" w:rsidRPr="00CE6B92">
        <w:rPr>
          <w:rFonts w:ascii="Aptos" w:eastAsia="Aptos" w:hAnsi="Aptos" w:cs="Aptos"/>
          <w:szCs w:val="28"/>
          <w:lang w:val="en-GB" w:eastAsia="zh-CN" w:bidi="th-TH"/>
        </w:rPr>
        <w:t>Hoes</w:t>
      </w:r>
      <w:r w:rsidR="00747A37">
        <w:rPr>
          <w:rFonts w:ascii="Aptos" w:eastAsia="Aptos" w:hAnsi="Aptos" w:cs="Aptos"/>
          <w:szCs w:val="28"/>
          <w:lang w:val="en-GB" w:eastAsia="zh-CN" w:bidi="th-TH"/>
        </w:rPr>
        <w:t xml:space="preserve"> et al. 2024; </w:t>
      </w:r>
      <w:r w:rsidR="00747A37" w:rsidRPr="00CE6B92">
        <w:rPr>
          <w:rFonts w:ascii="Aptos" w:eastAsia="Aptos" w:hAnsi="Aptos" w:cs="Aptos"/>
          <w:szCs w:val="28"/>
          <w:lang w:val="en-GB" w:eastAsia="zh-CN" w:bidi="th-TH"/>
        </w:rPr>
        <w:t>van der Meer</w:t>
      </w:r>
      <w:r w:rsidR="00747A37">
        <w:rPr>
          <w:rFonts w:ascii="Aptos" w:eastAsia="Aptos" w:hAnsi="Aptos" w:cs="Aptos"/>
          <w:szCs w:val="28"/>
          <w:lang w:val="en-GB" w:eastAsia="zh-CN" w:bidi="th-TH"/>
        </w:rPr>
        <w:t xml:space="preserve"> et al. 2023</w:t>
      </w:r>
      <w:r w:rsidR="00F140F0">
        <w:rPr>
          <w:rFonts w:ascii="Aptos" w:eastAsia="Aptos" w:hAnsi="Aptos" w:cs="Aptos"/>
          <w:highlight w:val="white"/>
          <w:lang w:val="en-GB" w:eastAsia="zh-CN" w:bidi="th-TH"/>
        </w:rPr>
        <w:t>).</w:t>
      </w:r>
      <w:r w:rsidRPr="00CE6B92">
        <w:rPr>
          <w:rFonts w:ascii="Aptos" w:eastAsia="Aptos" w:hAnsi="Aptos" w:cs="Aptos"/>
          <w:lang w:val="en-GB" w:eastAsia="zh-CN" w:bidi="th-TH"/>
        </w:rPr>
        <w:t xml:space="preserve"> Peer reviewed and grey literature agrees that the referendum and AEC activities throughout demonstrated Australia’s robust electoral system, enhanced by high public trust in the AEC</w:t>
      </w:r>
      <w:r w:rsidR="00747A37">
        <w:rPr>
          <w:rFonts w:ascii="Aptos" w:eastAsia="Aptos" w:hAnsi="Aptos" w:cs="Aptos"/>
          <w:lang w:val="en-GB" w:eastAsia="zh-CN" w:bidi="th-TH"/>
        </w:rPr>
        <w:t xml:space="preserve"> </w:t>
      </w:r>
      <w:r w:rsidR="00F140F0">
        <w:rPr>
          <w:rFonts w:ascii="Aptos" w:eastAsia="Aptos" w:hAnsi="Aptos" w:cs="Aptos"/>
          <w:lang w:val="en-GB" w:eastAsia="zh-CN" w:bidi="th-TH"/>
        </w:rPr>
        <w:t>(</w:t>
      </w:r>
      <w:r w:rsidR="00747A37">
        <w:rPr>
          <w:rFonts w:ascii="Aptos" w:eastAsia="Aptos" w:hAnsi="Aptos" w:cs="Aptos"/>
          <w:lang w:val="en-GB" w:eastAsia="zh-CN" w:bidi="th-TH"/>
        </w:rPr>
        <w:t xml:space="preserve">AEC 2024a; </w:t>
      </w:r>
      <w:r w:rsidR="00747A37" w:rsidRPr="00CE6B92">
        <w:rPr>
          <w:rFonts w:ascii="Aptos" w:eastAsia="Aptos" w:hAnsi="Aptos" w:cs="Aptos"/>
          <w:szCs w:val="28"/>
          <w:lang w:val="en-GB" w:eastAsia="zh-CN" w:bidi="th-TH"/>
        </w:rPr>
        <w:t>Carson</w:t>
      </w:r>
      <w:r w:rsidR="00747A37">
        <w:rPr>
          <w:rFonts w:ascii="Aptos" w:eastAsia="Aptos" w:hAnsi="Aptos" w:cs="Aptos"/>
          <w:szCs w:val="28"/>
          <w:lang w:val="en-GB" w:eastAsia="zh-CN" w:bidi="th-TH"/>
        </w:rPr>
        <w:t xml:space="preserve"> et al. </w:t>
      </w:r>
      <w:r w:rsidR="00653F63">
        <w:rPr>
          <w:rFonts w:ascii="Aptos" w:eastAsia="Aptos" w:hAnsi="Aptos" w:cs="Aptos"/>
          <w:szCs w:val="28"/>
          <w:lang w:val="en-GB" w:eastAsia="zh-CN" w:bidi="th-TH"/>
        </w:rPr>
        <w:t xml:space="preserve">2024; </w:t>
      </w:r>
      <w:r w:rsidR="00653F63" w:rsidRPr="00CE6B92">
        <w:rPr>
          <w:rFonts w:ascii="Aptos" w:eastAsia="Aptos" w:hAnsi="Aptos" w:cs="Aptos"/>
          <w:szCs w:val="28"/>
          <w:lang w:val="en-GB" w:eastAsia="zh-CN" w:bidi="th-TH"/>
        </w:rPr>
        <w:t>Strengthening Democracy Taskforce 2024</w:t>
      </w:r>
      <w:r w:rsidR="00F140F0">
        <w:rPr>
          <w:rFonts w:ascii="Aptos" w:eastAsia="Aptos" w:hAnsi="Aptos" w:cs="Aptos"/>
          <w:lang w:val="en-GB" w:eastAsia="zh-CN" w:bidi="th-TH"/>
        </w:rPr>
        <w:t>).</w:t>
      </w:r>
      <w:r w:rsidRPr="00CE6B92">
        <w:rPr>
          <w:rFonts w:ascii="Aptos" w:eastAsia="Aptos" w:hAnsi="Aptos" w:cs="Aptos"/>
          <w:lang w:val="en-GB" w:eastAsia="zh-CN" w:bidi="th-TH"/>
        </w:rPr>
        <w:t xml:space="preserve"> However, a nationally representative survey found that exposure to information simply refuting dis/misinformation about the AEC had limited impact on countering mistrust. Among certain groups, including those with existing low levels of trust and proponents of the No vote, refutation increased mistrust in the AEC</w:t>
      </w:r>
      <w:r w:rsidR="00F140F0">
        <w:rPr>
          <w:rFonts w:ascii="Aptos" w:eastAsia="Aptos" w:hAnsi="Aptos" w:cs="Aptos"/>
          <w:lang w:val="en-GB" w:eastAsia="zh-CN" w:bidi="th-TH"/>
        </w:rPr>
        <w:t xml:space="preserve"> (</w:t>
      </w:r>
      <w:r w:rsidR="00653F63" w:rsidRPr="00CE6B92">
        <w:rPr>
          <w:rFonts w:ascii="Aptos" w:eastAsia="Aptos" w:hAnsi="Aptos" w:cs="Aptos"/>
          <w:szCs w:val="28"/>
          <w:lang w:val="en-GB" w:eastAsia="zh-CN" w:bidi="th-TH"/>
        </w:rPr>
        <w:t>Carson</w:t>
      </w:r>
      <w:r w:rsidR="00653F63">
        <w:rPr>
          <w:rFonts w:ascii="Aptos" w:eastAsia="Aptos" w:hAnsi="Aptos" w:cs="Aptos"/>
          <w:szCs w:val="28"/>
          <w:lang w:val="en-GB" w:eastAsia="zh-CN" w:bidi="th-TH"/>
        </w:rPr>
        <w:t xml:space="preserve"> et al. 2024</w:t>
      </w:r>
      <w:r w:rsidR="00F140F0">
        <w:rPr>
          <w:rFonts w:ascii="Aptos" w:eastAsia="Aptos" w:hAnsi="Aptos" w:cs="Aptos"/>
          <w:lang w:val="en-GB" w:eastAsia="zh-CN" w:bidi="th-TH"/>
        </w:rPr>
        <w:t>).</w:t>
      </w:r>
    </w:p>
    <w:p w14:paraId="14A56DF4" w14:textId="77777777" w:rsidR="00CE6B92" w:rsidRPr="00CE6B92" w:rsidRDefault="00CE6B92" w:rsidP="00057DF3">
      <w:pPr>
        <w:pStyle w:val="Heading3Numbered"/>
        <w:rPr>
          <w:highlight w:val="white"/>
          <w:lang w:val="en-GB" w:eastAsia="zh-CN" w:bidi="th-TH"/>
        </w:rPr>
      </w:pPr>
      <w:bookmarkStart w:id="43" w:name="_Toc218517322"/>
      <w:r w:rsidRPr="00CE6B92">
        <w:rPr>
          <w:highlight w:val="white"/>
          <w:lang w:val="en-GB" w:eastAsia="zh-CN" w:bidi="th-TH"/>
        </w:rPr>
        <w:t>Supporting community wellbeing and resilience in times of crises</w:t>
      </w:r>
      <w:bookmarkEnd w:id="43"/>
    </w:p>
    <w:p w14:paraId="2A30C462" w14:textId="370DE779" w:rsidR="00823367" w:rsidRDefault="00CE6B92" w:rsidP="00823367">
      <w:pPr>
        <w:pStyle w:val="Quote"/>
      </w:pPr>
      <w:r w:rsidRPr="00057DF3">
        <w:rPr>
          <w:highlight w:val="white"/>
        </w:rPr>
        <w:t>Cultural and community institutions are critical social infrastructure; they support community wellbeing</w:t>
      </w:r>
      <w:r w:rsidRPr="00057DF3">
        <w:t xml:space="preserve"> and help communities respond to, withstand and recover from periods of crisis. </w:t>
      </w:r>
      <w:r w:rsidRPr="00057DF3">
        <w:rPr>
          <w:highlight w:val="white"/>
        </w:rPr>
        <w:t xml:space="preserve">The enduring resistance of </w:t>
      </w:r>
      <w:r w:rsidR="00057DF3" w:rsidRPr="00057DF3">
        <w:rPr>
          <w:highlight w:val="white"/>
        </w:rPr>
        <w:t>First Nation</w:t>
      </w:r>
      <w:r w:rsidRPr="00057DF3">
        <w:rPr>
          <w:highlight w:val="white"/>
        </w:rPr>
        <w:t xml:space="preserve">s communities offers valuable insights about the </w:t>
      </w:r>
      <w:r w:rsidRPr="00057DF3">
        <w:rPr>
          <w:highlight w:val="white"/>
        </w:rPr>
        <w:lastRenderedPageBreak/>
        <w:t>importance of shared spaces, stories and community</w:t>
      </w:r>
      <w:r w:rsidR="001404FB">
        <w:rPr>
          <w:highlight w:val="white"/>
        </w:rPr>
        <w:noBreakHyphen/>
      </w:r>
      <w:r w:rsidRPr="00057DF3">
        <w:rPr>
          <w:highlight w:val="white"/>
        </w:rPr>
        <w:t>led initiatives for creating the conditions for</w:t>
      </w:r>
      <w:r w:rsidR="00823367">
        <w:rPr>
          <w:highlight w:val="white"/>
        </w:rPr>
        <w:t> </w:t>
      </w:r>
      <w:r w:rsidRPr="00057DF3">
        <w:rPr>
          <w:highlight w:val="white"/>
        </w:rPr>
        <w:t>resilience.</w:t>
      </w:r>
      <w:r w:rsidRPr="00057DF3">
        <w:t xml:space="preserve"> </w:t>
      </w:r>
    </w:p>
    <w:p w14:paraId="2977EE94" w14:textId="2477FCFA" w:rsidR="00CE6B92" w:rsidRPr="00057DF3" w:rsidRDefault="00CE6B92" w:rsidP="00057DF3">
      <w:r w:rsidRPr="00057DF3">
        <w:t xml:space="preserve">These research findings are significant as </w:t>
      </w:r>
      <w:r w:rsidRPr="00057DF3">
        <w:rPr>
          <w:highlight w:val="white"/>
        </w:rPr>
        <w:t xml:space="preserve">communities face increasing polarisation around issues of climate, </w:t>
      </w:r>
      <w:r w:rsidRPr="00057DF3">
        <w:t>reconciling colonial history and</w:t>
      </w:r>
      <w:r w:rsidRPr="00057DF3">
        <w:rPr>
          <w:highlight w:val="white"/>
        </w:rPr>
        <w:t xml:space="preserve"> trust in expertise. A key consideration for the government and institutions alike is how to situate scientific and other forms of knowledge while also ensuring institutions </w:t>
      </w:r>
      <w:r w:rsidRPr="00057DF3">
        <w:t>maintain a balanced and neutral presentation of polarising issues.</w:t>
      </w:r>
    </w:p>
    <w:p w14:paraId="79085B6F" w14:textId="4AE7902C" w:rsidR="00CE6B92" w:rsidRPr="00CE6B92" w:rsidRDefault="00CE6B92" w:rsidP="001B7F4E">
      <w:pPr>
        <w:rPr>
          <w:lang w:val="en-GB" w:eastAsia="zh-CN" w:bidi="th-TH"/>
        </w:rPr>
      </w:pPr>
      <w:r w:rsidRPr="00CE6B92">
        <w:rPr>
          <w:highlight w:val="white"/>
          <w:lang w:val="en-GB" w:eastAsia="zh-CN" w:bidi="th-TH"/>
        </w:rPr>
        <w:t>Cultural and community institutions are often central and enduring features of a local community, with the standing and networks to bridge divides and foster the connections that make communities more resilient to the drivers and effects of</w:t>
      </w:r>
      <w:r w:rsidR="00EA5229">
        <w:rPr>
          <w:highlight w:val="white"/>
          <w:lang w:val="en-GB" w:eastAsia="zh-CN" w:bidi="th-TH"/>
        </w:rPr>
        <w:t xml:space="preserve"> mis- </w:t>
      </w:r>
      <w:r w:rsidR="001B7F4E">
        <w:rPr>
          <w:highlight w:val="white"/>
          <w:lang w:val="en-GB" w:eastAsia="zh-CN" w:bidi="th-TH"/>
        </w:rPr>
        <w:t>and disinformation</w:t>
      </w:r>
      <w:r w:rsidR="00F140F0">
        <w:rPr>
          <w:highlight w:val="white"/>
          <w:lang w:val="en-GB" w:eastAsia="zh-CN" w:bidi="th-TH"/>
        </w:rPr>
        <w:t xml:space="preserve"> (</w:t>
      </w:r>
      <w:r w:rsidR="00653F63" w:rsidRPr="00CE6B92">
        <w:rPr>
          <w:rFonts w:ascii="Aptos" w:eastAsia="Aptos" w:hAnsi="Aptos" w:cs="Aptos"/>
          <w:szCs w:val="28"/>
          <w:lang w:val="en-GB" w:eastAsia="zh-CN" w:bidi="th-TH"/>
        </w:rPr>
        <w:t>Aldrich 2023</w:t>
      </w:r>
      <w:r w:rsidR="00653F63">
        <w:rPr>
          <w:rFonts w:ascii="Aptos" w:eastAsia="Aptos" w:hAnsi="Aptos" w:cs="Aptos"/>
          <w:szCs w:val="28"/>
          <w:lang w:val="en-GB" w:eastAsia="zh-CN" w:bidi="th-TH"/>
        </w:rPr>
        <w:t>a</w:t>
      </w:r>
      <w:r w:rsidR="00F140F0">
        <w:rPr>
          <w:highlight w:val="white"/>
          <w:lang w:val="en-GB" w:eastAsia="zh-CN" w:bidi="th-TH"/>
        </w:rPr>
        <w:t>).</w:t>
      </w:r>
      <w:r w:rsidR="00A15AEA">
        <w:rPr>
          <w:lang w:val="en-GB" w:eastAsia="zh-CN" w:bidi="th-TH"/>
        </w:rPr>
        <w:t xml:space="preserve"> </w:t>
      </w:r>
      <w:r w:rsidR="00A15AEA" w:rsidRPr="00A15AEA">
        <w:rPr>
          <w:lang w:val="en-GB" w:eastAsia="zh-CN" w:bidi="th-TH"/>
        </w:rPr>
        <w:t>T</w:t>
      </w:r>
      <w:r w:rsidRPr="00CE6B92">
        <w:rPr>
          <w:lang w:val="en-GB" w:eastAsia="zh-CN" w:bidi="th-TH"/>
        </w:rPr>
        <w:t>his is particularly significant when engaging isolated and marginalised communities and during periods of crisis</w:t>
      </w:r>
      <w:r w:rsidR="00F140F0">
        <w:rPr>
          <w:lang w:val="en-GB" w:eastAsia="zh-CN" w:bidi="th-TH"/>
        </w:rPr>
        <w:t xml:space="preserve"> (</w:t>
      </w:r>
      <w:r w:rsidR="00653F63" w:rsidRPr="00CE6B92">
        <w:rPr>
          <w:rFonts w:ascii="Aptos" w:eastAsia="Aptos" w:hAnsi="Aptos" w:cs="Aptos"/>
          <w:szCs w:val="28"/>
          <w:lang w:val="en-GB" w:eastAsia="zh-CN" w:bidi="th-TH"/>
        </w:rPr>
        <w:t>Aldrich 2012</w:t>
      </w:r>
      <w:r w:rsidR="00653F63">
        <w:rPr>
          <w:rFonts w:ascii="Aptos" w:eastAsia="Aptos" w:hAnsi="Aptos" w:cs="Aptos"/>
          <w:szCs w:val="28"/>
          <w:lang w:val="en-GB" w:eastAsia="zh-CN" w:bidi="th-TH"/>
        </w:rPr>
        <w:t xml:space="preserve">; </w:t>
      </w:r>
      <w:r w:rsidR="00653F63" w:rsidRPr="00CE6B92">
        <w:rPr>
          <w:rFonts w:ascii="Aptos" w:eastAsia="Aptos" w:hAnsi="Aptos" w:cs="Aptos"/>
          <w:szCs w:val="28"/>
          <w:lang w:val="en-GB" w:eastAsia="zh-CN" w:bidi="th-TH"/>
        </w:rPr>
        <w:t>Aldrich and Meyer 2015</w:t>
      </w:r>
      <w:r w:rsidR="00653F63">
        <w:rPr>
          <w:rFonts w:ascii="Aptos" w:eastAsia="Aptos" w:hAnsi="Aptos" w:cs="Aptos"/>
          <w:szCs w:val="28"/>
          <w:lang w:val="en-GB" w:eastAsia="zh-CN" w:bidi="th-TH"/>
        </w:rPr>
        <w:t xml:space="preserve">; </w:t>
      </w:r>
      <w:r w:rsidR="00653F63" w:rsidRPr="00CE6B92">
        <w:rPr>
          <w:rFonts w:ascii="Aptos" w:eastAsia="Aptos" w:hAnsi="Aptos" w:cs="Aptos"/>
          <w:szCs w:val="28"/>
          <w:lang w:val="en-GB" w:eastAsia="zh-CN" w:bidi="th-TH"/>
        </w:rPr>
        <w:t>Fraser</w:t>
      </w:r>
      <w:r w:rsidR="00653F63">
        <w:rPr>
          <w:rFonts w:ascii="Aptos" w:eastAsia="Aptos" w:hAnsi="Aptos" w:cs="Aptos"/>
          <w:szCs w:val="28"/>
          <w:lang w:val="en-GB" w:eastAsia="zh-CN" w:bidi="th-TH"/>
        </w:rPr>
        <w:t xml:space="preserve"> et al. 2022</w:t>
      </w:r>
      <w:r w:rsidR="00F140F0">
        <w:rPr>
          <w:lang w:val="en-GB" w:eastAsia="zh-CN" w:bidi="th-TH"/>
        </w:rPr>
        <w:t>).</w:t>
      </w:r>
      <w:r w:rsidRPr="00CE6B92">
        <w:rPr>
          <w:lang w:val="en-GB" w:eastAsia="zh-CN" w:bidi="th-TH"/>
        </w:rPr>
        <w:t xml:space="preserve"> </w:t>
      </w:r>
    </w:p>
    <w:p w14:paraId="50A8AFF4" w14:textId="24F5400B" w:rsidR="00CE6B92" w:rsidRPr="00CE6B92" w:rsidRDefault="00CE6B92" w:rsidP="001B7F4E">
      <w:pPr>
        <w:rPr>
          <w:lang w:val="en-GB" w:eastAsia="zh-CN" w:bidi="th-TH"/>
        </w:rPr>
      </w:pPr>
      <w:r w:rsidRPr="00CE6B92">
        <w:rPr>
          <w:lang w:val="en-GB" w:eastAsia="zh-CN" w:bidi="th-TH"/>
        </w:rPr>
        <w:t xml:space="preserve">Evidence from natural and health crises finds that coordination between public officials, </w:t>
      </w:r>
      <w:r w:rsidRPr="00CE6B92">
        <w:rPr>
          <w:highlight w:val="white"/>
          <w:lang w:val="en-GB" w:eastAsia="zh-CN" w:bidi="th-TH"/>
        </w:rPr>
        <w:t>emergency management and civil society groups support more effective engagement with communities</w:t>
      </w:r>
      <w:r w:rsidR="00F140F0">
        <w:rPr>
          <w:highlight w:val="white"/>
          <w:lang w:val="en-GB" w:eastAsia="zh-CN" w:bidi="th-TH"/>
        </w:rPr>
        <w:t xml:space="preserve"> (</w:t>
      </w:r>
      <w:r w:rsidR="00653F63" w:rsidRPr="00CE6B92">
        <w:rPr>
          <w:rFonts w:ascii="Aptos" w:eastAsia="Aptos" w:hAnsi="Aptos" w:cs="Aptos"/>
          <w:szCs w:val="28"/>
          <w:lang w:val="en-GB" w:eastAsia="zh-CN" w:bidi="th-TH"/>
        </w:rPr>
        <w:t>Aldrich 2012</w:t>
      </w:r>
      <w:r w:rsidR="00653F63">
        <w:rPr>
          <w:rFonts w:ascii="Aptos" w:eastAsia="Aptos" w:hAnsi="Aptos" w:cs="Aptos"/>
          <w:szCs w:val="28"/>
          <w:lang w:val="en-GB" w:eastAsia="zh-CN" w:bidi="th-TH"/>
        </w:rPr>
        <w:t xml:space="preserve">; </w:t>
      </w:r>
      <w:r w:rsidR="00653F63" w:rsidRPr="00CE6B92">
        <w:rPr>
          <w:rFonts w:ascii="Aptos" w:eastAsia="Aptos" w:hAnsi="Aptos" w:cs="Aptos"/>
          <w:szCs w:val="28"/>
          <w:lang w:val="en-GB" w:eastAsia="zh-CN" w:bidi="th-TH"/>
        </w:rPr>
        <w:t>Aldrich and Meyer 2015</w:t>
      </w:r>
      <w:r w:rsidR="00653F63">
        <w:rPr>
          <w:rFonts w:ascii="Aptos" w:eastAsia="Aptos" w:hAnsi="Aptos" w:cs="Aptos"/>
          <w:szCs w:val="28"/>
          <w:lang w:val="en-GB" w:eastAsia="zh-CN" w:bidi="th-TH"/>
        </w:rPr>
        <w:t xml:space="preserve">; </w:t>
      </w:r>
      <w:r w:rsidR="00653F63" w:rsidRPr="00CE6B92">
        <w:rPr>
          <w:rFonts w:ascii="Aptos" w:eastAsia="Aptos" w:hAnsi="Aptos" w:cs="Aptos"/>
          <w:szCs w:val="28"/>
          <w:lang w:val="en-GB" w:eastAsia="zh-CN" w:bidi="th-TH"/>
        </w:rPr>
        <w:t>Fraser and Aldrich 2021</w:t>
      </w:r>
      <w:r w:rsidR="00653F63">
        <w:rPr>
          <w:rFonts w:ascii="Aptos" w:eastAsia="Aptos" w:hAnsi="Aptos" w:cs="Aptos"/>
          <w:szCs w:val="28"/>
          <w:lang w:val="en-GB" w:eastAsia="zh-CN" w:bidi="th-TH"/>
        </w:rPr>
        <w:t>; Fraser et al, 2021</w:t>
      </w:r>
      <w:r w:rsidR="00F140F0">
        <w:rPr>
          <w:highlight w:val="white"/>
          <w:lang w:val="en-GB" w:eastAsia="zh-CN" w:bidi="th-TH"/>
        </w:rPr>
        <w:t>).</w:t>
      </w:r>
      <w:r w:rsidR="00780C4E">
        <w:rPr>
          <w:lang w:val="en-GB" w:eastAsia="zh-CN" w:bidi="th-TH"/>
        </w:rPr>
        <w:t xml:space="preserve"> I</w:t>
      </w:r>
      <w:r w:rsidRPr="00CE6B92">
        <w:rPr>
          <w:lang w:val="en-GB" w:eastAsia="zh-CN" w:bidi="th-TH"/>
        </w:rPr>
        <w:t>nstitutions act as intermediaries, facilitating bridging and linking ties between officials, the public and broader civil society, for instance, by convening community consultations or developing tailored communication materials</w:t>
      </w:r>
      <w:r w:rsidR="00F140F0">
        <w:rPr>
          <w:lang w:val="en-GB" w:eastAsia="zh-CN" w:bidi="th-TH"/>
        </w:rPr>
        <w:t xml:space="preserve"> (</w:t>
      </w:r>
      <w:r w:rsidR="00EA381D" w:rsidRPr="00CE6B92">
        <w:rPr>
          <w:rFonts w:ascii="Aptos" w:eastAsia="Aptos" w:hAnsi="Aptos" w:cs="Aptos"/>
          <w:szCs w:val="28"/>
          <w:lang w:val="en-GB" w:eastAsia="zh-CN" w:bidi="th-TH"/>
        </w:rPr>
        <w:t>Myers 2021</w:t>
      </w:r>
      <w:r w:rsidR="00EA381D">
        <w:rPr>
          <w:rFonts w:ascii="Aptos" w:eastAsia="Aptos" w:hAnsi="Aptos" w:cs="Aptos"/>
          <w:szCs w:val="28"/>
          <w:lang w:val="en-GB" w:eastAsia="zh-CN" w:bidi="th-TH"/>
        </w:rPr>
        <w:t xml:space="preserve">; </w:t>
      </w:r>
      <w:r w:rsidR="00EA381D" w:rsidRPr="00CE6B92">
        <w:rPr>
          <w:rFonts w:ascii="Aptos" w:eastAsia="Aptos" w:hAnsi="Aptos" w:cs="Aptos"/>
          <w:szCs w:val="28"/>
          <w:lang w:val="en-GB" w:eastAsia="zh-CN" w:bidi="th-TH"/>
        </w:rPr>
        <w:t>Riboldi</w:t>
      </w:r>
      <w:r w:rsidR="00EA381D">
        <w:rPr>
          <w:rFonts w:ascii="Aptos" w:eastAsia="Aptos" w:hAnsi="Aptos" w:cs="Aptos"/>
          <w:szCs w:val="28"/>
          <w:lang w:val="en-GB" w:eastAsia="zh-CN" w:bidi="th-TH"/>
        </w:rPr>
        <w:t xml:space="preserve"> et al. 2022</w:t>
      </w:r>
      <w:r w:rsidR="00F140F0">
        <w:rPr>
          <w:lang w:val="en-GB" w:eastAsia="zh-CN" w:bidi="th-TH"/>
        </w:rPr>
        <w:t>).</w:t>
      </w:r>
      <w:r w:rsidRPr="00CE6B92">
        <w:rPr>
          <w:lang w:val="en-GB" w:eastAsia="zh-CN" w:bidi="th-TH"/>
        </w:rPr>
        <w:t xml:space="preserve"> </w:t>
      </w:r>
      <w:r w:rsidRPr="00CE6B92">
        <w:rPr>
          <w:highlight w:val="white"/>
          <w:lang w:val="en-GB" w:eastAsia="zh-CN" w:bidi="th-TH"/>
        </w:rPr>
        <w:t>Collective, community</w:t>
      </w:r>
      <w:r w:rsidR="001404FB">
        <w:rPr>
          <w:highlight w:val="white"/>
          <w:lang w:val="en-GB" w:eastAsia="zh-CN" w:bidi="th-TH"/>
        </w:rPr>
        <w:noBreakHyphen/>
      </w:r>
      <w:r w:rsidRPr="00CE6B92">
        <w:rPr>
          <w:highlight w:val="white"/>
          <w:lang w:val="en-GB" w:eastAsia="zh-CN" w:bidi="th-TH"/>
        </w:rPr>
        <w:t xml:space="preserve">centred approaches to disaster recovery are embedded in </w:t>
      </w:r>
      <w:r w:rsidRPr="00CE6B92">
        <w:rPr>
          <w:lang w:val="en-GB" w:eastAsia="zh-CN" w:bidi="th-TH"/>
        </w:rPr>
        <w:t>emergency management frameworks</w:t>
      </w:r>
      <w:r w:rsidR="00EA381D">
        <w:rPr>
          <w:lang w:val="en-GB" w:eastAsia="zh-CN" w:bidi="th-TH"/>
        </w:rPr>
        <w:t xml:space="preserve"> (</w:t>
      </w:r>
      <w:r w:rsidR="00EA381D" w:rsidRPr="00CE6B92">
        <w:rPr>
          <w:rFonts w:ascii="Aptos" w:eastAsia="Aptos" w:hAnsi="Aptos" w:cs="Aptos"/>
          <w:szCs w:val="28"/>
          <w:lang w:val="en-GB" w:eastAsia="zh-CN" w:bidi="th-TH"/>
        </w:rPr>
        <w:t>Australian Red Cross 2012</w:t>
      </w:r>
      <w:r w:rsidR="00EA381D">
        <w:rPr>
          <w:rFonts w:ascii="Aptos" w:eastAsia="Aptos" w:hAnsi="Aptos" w:cs="Aptos"/>
          <w:szCs w:val="28"/>
          <w:lang w:val="en-GB" w:eastAsia="zh-CN" w:bidi="th-TH"/>
        </w:rPr>
        <w:t>)</w:t>
      </w:r>
      <w:r w:rsidRPr="00CE6B92">
        <w:rPr>
          <w:lang w:val="en-GB" w:eastAsia="zh-CN" w:bidi="th-TH"/>
        </w:rPr>
        <w:t>,</w:t>
      </w:r>
      <w:r w:rsidR="00E416E2">
        <w:rPr>
          <w:lang w:val="en-GB" w:eastAsia="zh-CN" w:bidi="th-TH"/>
        </w:rPr>
        <w:t xml:space="preserve"> </w:t>
      </w:r>
      <w:r w:rsidRPr="00CE6B92">
        <w:rPr>
          <w:lang w:val="en-GB" w:eastAsia="zh-CN" w:bidi="th-TH"/>
        </w:rPr>
        <w:t xml:space="preserve">and it is suggested that the ties developed therein may </w:t>
      </w:r>
      <w:r w:rsidRPr="00CE6B92">
        <w:rPr>
          <w:highlight w:val="white"/>
          <w:lang w:val="en-GB" w:eastAsia="zh-CN" w:bidi="th-TH"/>
        </w:rPr>
        <w:t>provide the foundation for greater resilience in future crises</w:t>
      </w:r>
      <w:r w:rsidR="00F140F0">
        <w:rPr>
          <w:lang w:val="en-GB" w:eastAsia="zh-CN" w:bidi="th-TH"/>
        </w:rPr>
        <w:t xml:space="preserve"> (</w:t>
      </w:r>
      <w:r w:rsidR="00EA381D" w:rsidRPr="00CE6B92">
        <w:rPr>
          <w:rFonts w:ascii="Aptos" w:eastAsia="Aptos" w:hAnsi="Aptos" w:cs="Aptos"/>
          <w:szCs w:val="28"/>
          <w:lang w:val="en-GB" w:eastAsia="zh-CN" w:bidi="th-TH"/>
        </w:rPr>
        <w:t>Moore-Vissing and Mallory 2020</w:t>
      </w:r>
      <w:r w:rsidR="00EA381D">
        <w:rPr>
          <w:rFonts w:ascii="Aptos" w:eastAsia="Aptos" w:hAnsi="Aptos" w:cs="Aptos"/>
          <w:szCs w:val="28"/>
          <w:lang w:val="en-GB" w:eastAsia="zh-CN" w:bidi="th-TH"/>
        </w:rPr>
        <w:t xml:space="preserve">; </w:t>
      </w:r>
      <w:proofErr w:type="spellStart"/>
      <w:r w:rsidR="00EA381D" w:rsidRPr="00CE6B92">
        <w:rPr>
          <w:rFonts w:ascii="Aptos" w:eastAsia="Aptos" w:hAnsi="Aptos" w:cs="Aptos"/>
          <w:szCs w:val="28"/>
          <w:lang w:val="en-GB" w:eastAsia="zh-CN" w:bidi="th-TH"/>
        </w:rPr>
        <w:t>Revez</w:t>
      </w:r>
      <w:proofErr w:type="spellEnd"/>
      <w:r w:rsidR="00EA381D" w:rsidRPr="00CE6B92">
        <w:rPr>
          <w:rFonts w:ascii="Aptos" w:eastAsia="Aptos" w:hAnsi="Aptos" w:cs="Aptos"/>
          <w:szCs w:val="28"/>
          <w:lang w:val="en-GB" w:eastAsia="zh-CN" w:bidi="th-TH"/>
        </w:rPr>
        <w:t xml:space="preserve"> and Corujo 2021</w:t>
      </w:r>
      <w:r w:rsidR="00F140F0">
        <w:rPr>
          <w:lang w:val="en-GB" w:eastAsia="zh-CN" w:bidi="th-TH"/>
        </w:rPr>
        <w:t>).</w:t>
      </w:r>
    </w:p>
    <w:p w14:paraId="7272FC94" w14:textId="452045D1" w:rsidR="00CE6B92" w:rsidRPr="00CE6B92" w:rsidRDefault="00CE6B92" w:rsidP="001B7F4E">
      <w:pPr>
        <w:rPr>
          <w:highlight w:val="white"/>
          <w:lang w:val="en-GB" w:eastAsia="zh-CN" w:bidi="th-TH"/>
        </w:rPr>
      </w:pPr>
      <w:r w:rsidRPr="00CE6B92">
        <w:rPr>
          <w:highlight w:val="white"/>
          <w:lang w:val="en-GB" w:eastAsia="zh-CN" w:bidi="th-TH"/>
        </w:rPr>
        <w:t>La Trobe University’s Centre for the Study of the Inland has been working with GLAMs in Murray</w:t>
      </w:r>
      <w:r w:rsidR="001404FB">
        <w:rPr>
          <w:highlight w:val="white"/>
          <w:lang w:val="en-GB" w:eastAsia="zh-CN" w:bidi="th-TH"/>
        </w:rPr>
        <w:noBreakHyphen/>
      </w:r>
      <w:r w:rsidRPr="00CE6B92">
        <w:rPr>
          <w:highlight w:val="white"/>
          <w:lang w:val="en-GB" w:eastAsia="zh-CN" w:bidi="th-TH"/>
        </w:rPr>
        <w:t>Darling Basin communities to share research on regional experiences of living with climate extremes. Through exhibitions and public talks, communities are invited to learn about the histories of their communities and to share their own insights. GLAMs also facilitate engagement with schools, ensuring education about local climate histories and conversations about resilience and adaptation begins early</w:t>
      </w:r>
      <w:r w:rsidR="00F140F0">
        <w:rPr>
          <w:highlight w:val="white"/>
          <w:lang w:val="en-GB" w:eastAsia="zh-CN" w:bidi="th-TH"/>
        </w:rPr>
        <w:t xml:space="preserve"> (</w:t>
      </w:r>
      <w:r w:rsidR="00EA381D" w:rsidRPr="00CE6B92">
        <w:rPr>
          <w:rFonts w:ascii="Aptos" w:eastAsia="Aptos" w:hAnsi="Aptos" w:cs="Aptos"/>
          <w:szCs w:val="28"/>
          <w:lang w:val="en-GB" w:eastAsia="zh-CN" w:bidi="th-TH"/>
        </w:rPr>
        <w:t>La Trobe University 2025</w:t>
      </w:r>
      <w:r w:rsidR="00F140F0">
        <w:rPr>
          <w:highlight w:val="white"/>
          <w:lang w:val="en-GB" w:eastAsia="zh-CN" w:bidi="th-TH"/>
        </w:rPr>
        <w:t>).</w:t>
      </w:r>
      <w:r w:rsidRPr="00CE6B92">
        <w:rPr>
          <w:highlight w:val="white"/>
          <w:lang w:val="en-GB" w:eastAsia="zh-CN" w:bidi="th-TH"/>
        </w:rPr>
        <w:t xml:space="preserve"> These kinds of activities provide opportunities to discuss climate extremes without the often</w:t>
      </w:r>
      <w:r w:rsidR="001404FB">
        <w:rPr>
          <w:highlight w:val="white"/>
          <w:lang w:val="en-GB" w:eastAsia="zh-CN" w:bidi="th-TH"/>
        </w:rPr>
        <w:noBreakHyphen/>
      </w:r>
      <w:r w:rsidRPr="00CE6B92">
        <w:rPr>
          <w:highlight w:val="white"/>
          <w:lang w:val="en-GB" w:eastAsia="zh-CN" w:bidi="th-TH"/>
        </w:rPr>
        <w:t>polarising language of climate change</w:t>
      </w:r>
      <w:r w:rsidR="00F140F0">
        <w:rPr>
          <w:highlight w:val="white"/>
          <w:lang w:val="en-GB" w:eastAsia="zh-CN" w:bidi="th-TH"/>
        </w:rPr>
        <w:t xml:space="preserve"> (</w:t>
      </w:r>
      <w:r w:rsidR="00EA381D" w:rsidRPr="00CE6B92">
        <w:rPr>
          <w:rFonts w:ascii="Aptos" w:eastAsia="Aptos" w:hAnsi="Aptos" w:cs="Aptos"/>
          <w:szCs w:val="28"/>
          <w:lang w:val="en-GB" w:eastAsia="zh-CN" w:bidi="th-TH"/>
        </w:rPr>
        <w:t>Perkin 2013</w:t>
      </w:r>
      <w:r w:rsidR="00EA381D">
        <w:rPr>
          <w:rFonts w:ascii="Aptos" w:eastAsia="Aptos" w:hAnsi="Aptos" w:cs="Aptos"/>
          <w:szCs w:val="28"/>
          <w:lang w:val="en-GB" w:eastAsia="zh-CN" w:bidi="th-TH"/>
        </w:rPr>
        <w:t xml:space="preserve">; </w:t>
      </w:r>
      <w:r w:rsidR="00EA381D" w:rsidRPr="00CE6B92">
        <w:rPr>
          <w:rFonts w:ascii="Aptos" w:eastAsia="Aptos" w:hAnsi="Aptos" w:cs="Aptos"/>
          <w:szCs w:val="28"/>
          <w:lang w:eastAsia="zh-CN" w:bidi="th-TH"/>
        </w:rPr>
        <w:t>Rosenberg 2011</w:t>
      </w:r>
      <w:r w:rsidR="00F140F0">
        <w:rPr>
          <w:highlight w:val="white"/>
          <w:lang w:val="en-GB" w:eastAsia="zh-CN" w:bidi="th-TH"/>
        </w:rPr>
        <w:t>).</w:t>
      </w:r>
      <w:r w:rsidRPr="00CE6B92">
        <w:rPr>
          <w:highlight w:val="white"/>
          <w:lang w:val="en-GB" w:eastAsia="zh-CN" w:bidi="th-TH"/>
        </w:rPr>
        <w:t xml:space="preserve"> </w:t>
      </w:r>
    </w:p>
    <w:p w14:paraId="41E2707E" w14:textId="77777777" w:rsidR="00E416E2" w:rsidRDefault="00CE6B92" w:rsidP="001B7F4E">
      <w:pPr>
        <w:rPr>
          <w:highlight w:val="white"/>
          <w:lang w:val="en-GB" w:eastAsia="zh-CN" w:bidi="th-TH"/>
        </w:rPr>
      </w:pPr>
      <w:r w:rsidRPr="00CE6B92">
        <w:rPr>
          <w:highlight w:val="white"/>
          <w:lang w:val="en-GB" w:eastAsia="zh-CN" w:bidi="th-TH"/>
        </w:rPr>
        <w:t xml:space="preserve">For </w:t>
      </w:r>
      <w:r w:rsidR="00057DF3">
        <w:rPr>
          <w:lang w:val="en-GB" w:eastAsia="zh-CN" w:bidi="th-TH"/>
        </w:rPr>
        <w:t>First Nation</w:t>
      </w:r>
      <w:r w:rsidRPr="00CE6B92">
        <w:rPr>
          <w:lang w:val="en-GB" w:eastAsia="zh-CN" w:bidi="th-TH"/>
        </w:rPr>
        <w:t xml:space="preserve">s </w:t>
      </w:r>
      <w:r w:rsidRPr="00CE6B92">
        <w:rPr>
          <w:highlight w:val="white"/>
          <w:lang w:val="en-GB" w:eastAsia="zh-CN" w:bidi="th-TH"/>
        </w:rPr>
        <w:t xml:space="preserve">communities, </w:t>
      </w:r>
      <w:r w:rsidRPr="008702A4">
        <w:rPr>
          <w:rStyle w:val="Emphasis"/>
          <w:highlight w:val="white"/>
        </w:rPr>
        <w:t>terra nullius</w:t>
      </w:r>
      <w:r w:rsidRPr="00CE6B92">
        <w:rPr>
          <w:highlight w:val="white"/>
          <w:lang w:val="en-GB" w:eastAsia="zh-CN" w:bidi="th-TH"/>
        </w:rPr>
        <w:t xml:space="preserve"> and its legacy of policies which dehumanised and forcefully removed Indigenous peoples from unceded lands is a form of</w:t>
      </w:r>
      <w:r w:rsidR="00EA5229">
        <w:rPr>
          <w:highlight w:val="white"/>
          <w:lang w:val="en-GB" w:eastAsia="zh-CN" w:bidi="th-TH"/>
        </w:rPr>
        <w:t xml:space="preserve"> mis- </w:t>
      </w:r>
      <w:r w:rsidR="001B7F4E">
        <w:rPr>
          <w:highlight w:val="white"/>
          <w:lang w:val="en-GB" w:eastAsia="zh-CN" w:bidi="th-TH"/>
        </w:rPr>
        <w:t>and disinformation</w:t>
      </w:r>
      <w:r w:rsidRPr="00CE6B92">
        <w:rPr>
          <w:highlight w:val="white"/>
          <w:lang w:val="en-GB" w:eastAsia="zh-CN" w:bidi="th-TH"/>
        </w:rPr>
        <w:t>. A storytelling tradition spanning tens</w:t>
      </w:r>
      <w:r w:rsidR="001404FB">
        <w:rPr>
          <w:highlight w:val="white"/>
          <w:lang w:val="en-GB" w:eastAsia="zh-CN" w:bidi="th-TH"/>
        </w:rPr>
        <w:noBreakHyphen/>
      </w:r>
      <w:r w:rsidRPr="00CE6B92">
        <w:rPr>
          <w:highlight w:val="white"/>
          <w:lang w:val="en-GB" w:eastAsia="zh-CN" w:bidi="th-TH"/>
        </w:rPr>
        <w:t>of</w:t>
      </w:r>
      <w:r w:rsidR="001404FB">
        <w:rPr>
          <w:highlight w:val="white"/>
          <w:lang w:val="en-GB" w:eastAsia="zh-CN" w:bidi="th-TH"/>
        </w:rPr>
        <w:noBreakHyphen/>
      </w:r>
      <w:r w:rsidRPr="00CE6B92">
        <w:rPr>
          <w:highlight w:val="white"/>
          <w:lang w:val="en-GB" w:eastAsia="zh-CN" w:bidi="th-TH"/>
        </w:rPr>
        <w:t xml:space="preserve">thousands of years has been key to preserving and building </w:t>
      </w:r>
      <w:r w:rsidR="00057DF3">
        <w:rPr>
          <w:lang w:val="en-GB" w:eastAsia="zh-CN" w:bidi="th-TH"/>
        </w:rPr>
        <w:t>First Nation</w:t>
      </w:r>
      <w:r w:rsidRPr="00CE6B92">
        <w:rPr>
          <w:lang w:val="en-GB" w:eastAsia="zh-CN" w:bidi="th-TH"/>
        </w:rPr>
        <w:t>s</w:t>
      </w:r>
      <w:r w:rsidRPr="00CE6B92">
        <w:rPr>
          <w:highlight w:val="white"/>
          <w:lang w:val="en-GB" w:eastAsia="zh-CN" w:bidi="th-TH"/>
        </w:rPr>
        <w:t xml:space="preserve"> cultures and knowledge. It also validates experiences, nurtures community connection and resists false narratives, playing a key role in the longevity of Aboriginal and </w:t>
      </w:r>
      <w:r w:rsidR="00057DF3">
        <w:rPr>
          <w:highlight w:val="white"/>
          <w:lang w:val="en-GB" w:eastAsia="zh-CN" w:bidi="th-TH"/>
        </w:rPr>
        <w:t>Torres Strait</w:t>
      </w:r>
      <w:r w:rsidRPr="00CE6B92">
        <w:rPr>
          <w:highlight w:val="white"/>
          <w:lang w:val="en-GB" w:eastAsia="zh-CN" w:bidi="th-TH"/>
        </w:rPr>
        <w:t xml:space="preserve"> Islander resistance</w:t>
      </w:r>
      <w:r w:rsidR="00F140F0">
        <w:rPr>
          <w:highlight w:val="white"/>
          <w:lang w:val="en-GB" w:eastAsia="zh-CN" w:bidi="th-TH"/>
        </w:rPr>
        <w:t xml:space="preserve"> (</w:t>
      </w:r>
      <w:proofErr w:type="spellStart"/>
      <w:r w:rsidR="00B32F59" w:rsidRPr="00CE6B92">
        <w:rPr>
          <w:rFonts w:ascii="Aptos" w:eastAsia="Aptos" w:hAnsi="Aptos" w:cs="Aptos"/>
          <w:szCs w:val="28"/>
          <w:lang w:val="en-GB" w:eastAsia="zh-CN" w:bidi="th-TH"/>
        </w:rPr>
        <w:t>Iseke</w:t>
      </w:r>
      <w:proofErr w:type="spellEnd"/>
      <w:r w:rsidR="00B32F59" w:rsidRPr="00CE6B92">
        <w:rPr>
          <w:rFonts w:ascii="Aptos" w:eastAsia="Aptos" w:hAnsi="Aptos" w:cs="Aptos"/>
          <w:szCs w:val="28"/>
          <w:lang w:val="en-GB" w:eastAsia="zh-CN" w:bidi="th-TH"/>
        </w:rPr>
        <w:t xml:space="preserve"> 2013</w:t>
      </w:r>
      <w:r w:rsidR="00F140F0">
        <w:rPr>
          <w:highlight w:val="white"/>
          <w:lang w:val="en-GB" w:eastAsia="zh-CN" w:bidi="th-TH"/>
        </w:rPr>
        <w:t>).</w:t>
      </w:r>
      <w:r w:rsidRPr="00CE6B92">
        <w:rPr>
          <w:highlight w:val="white"/>
          <w:lang w:val="en-GB" w:eastAsia="zh-CN" w:bidi="th-TH"/>
        </w:rPr>
        <w:t xml:space="preserve"> Research explores how online platforms and communities have transformed and continued this practice in contemporary contexts</w:t>
      </w:r>
      <w:r w:rsidR="00F140F0">
        <w:rPr>
          <w:highlight w:val="white"/>
          <w:lang w:val="en-GB" w:eastAsia="zh-CN" w:bidi="th-TH"/>
        </w:rPr>
        <w:t xml:space="preserve"> (</w:t>
      </w:r>
      <w:r w:rsidR="00B32F59" w:rsidRPr="00CE6B92">
        <w:rPr>
          <w:rFonts w:ascii="Aptos" w:eastAsia="Aptos" w:hAnsi="Aptos" w:cs="Aptos"/>
          <w:szCs w:val="28"/>
          <w:lang w:val="en-GB" w:eastAsia="zh-CN" w:bidi="th-TH"/>
        </w:rPr>
        <w:t>Barrett and Cocq 2019</w:t>
      </w:r>
      <w:r w:rsidR="00B32F59">
        <w:rPr>
          <w:rFonts w:ascii="Aptos" w:eastAsia="Aptos" w:hAnsi="Aptos" w:cs="Aptos"/>
          <w:szCs w:val="28"/>
          <w:lang w:val="en-GB" w:eastAsia="zh-CN" w:bidi="th-TH"/>
        </w:rPr>
        <w:t xml:space="preserve">; </w:t>
      </w:r>
      <w:r w:rsidR="00B32F59" w:rsidRPr="00CE6B92">
        <w:rPr>
          <w:rFonts w:ascii="Aptos" w:eastAsia="Aptos" w:hAnsi="Aptos" w:cs="Aptos"/>
          <w:szCs w:val="28"/>
          <w:lang w:val="en-GB" w:eastAsia="zh-CN" w:bidi="th-TH"/>
        </w:rPr>
        <w:t>Barrowcliffe 2021</w:t>
      </w:r>
      <w:r w:rsidR="00B32F59">
        <w:rPr>
          <w:rFonts w:ascii="Aptos" w:eastAsia="Aptos" w:hAnsi="Aptos" w:cs="Aptos"/>
          <w:szCs w:val="28"/>
          <w:lang w:val="en-GB" w:eastAsia="zh-CN" w:bidi="th-TH"/>
        </w:rPr>
        <w:t xml:space="preserve">; </w:t>
      </w:r>
      <w:r w:rsidR="00B32F59" w:rsidRPr="00CE6B92">
        <w:rPr>
          <w:rFonts w:ascii="Aptos" w:eastAsia="Aptos" w:hAnsi="Aptos" w:cs="Aptos"/>
          <w:szCs w:val="28"/>
          <w:lang w:val="en-GB" w:eastAsia="zh-CN" w:bidi="th-TH"/>
        </w:rPr>
        <w:t>Carlson and Kennedy 2021</w:t>
      </w:r>
      <w:r w:rsidR="00B32F59">
        <w:rPr>
          <w:rFonts w:ascii="Aptos" w:eastAsia="Aptos" w:hAnsi="Aptos" w:cs="Aptos"/>
          <w:szCs w:val="28"/>
          <w:lang w:val="en-GB" w:eastAsia="zh-CN" w:bidi="th-TH"/>
        </w:rPr>
        <w:t xml:space="preserve">; </w:t>
      </w:r>
      <w:r w:rsidR="00B32F59" w:rsidRPr="00CE6B92">
        <w:rPr>
          <w:rFonts w:ascii="Aptos" w:eastAsia="Aptos" w:hAnsi="Aptos" w:cs="Aptos"/>
          <w:szCs w:val="28"/>
          <w:lang w:val="en-GB" w:eastAsia="zh-CN" w:bidi="th-TH"/>
        </w:rPr>
        <w:t>Shiri</w:t>
      </w:r>
      <w:r w:rsidR="00B32F59">
        <w:rPr>
          <w:rFonts w:ascii="Aptos" w:eastAsia="Aptos" w:hAnsi="Aptos" w:cs="Aptos"/>
          <w:szCs w:val="28"/>
          <w:lang w:val="en-GB" w:eastAsia="zh-CN" w:bidi="th-TH"/>
        </w:rPr>
        <w:t xml:space="preserve"> et al. 2021</w:t>
      </w:r>
      <w:r w:rsidR="00F140F0">
        <w:rPr>
          <w:highlight w:val="white"/>
          <w:lang w:val="en-GB" w:eastAsia="zh-CN" w:bidi="th-TH"/>
        </w:rPr>
        <w:t>).</w:t>
      </w:r>
    </w:p>
    <w:p w14:paraId="5CFAE6BC" w14:textId="1A6A3D90" w:rsidR="00E416E2" w:rsidRDefault="00CE6B92" w:rsidP="001B7F4E">
      <w:pPr>
        <w:rPr>
          <w:lang w:val="en-GB" w:eastAsia="zh-CN" w:bidi="th-TH"/>
        </w:rPr>
      </w:pPr>
      <w:r w:rsidRPr="00CE6B92">
        <w:rPr>
          <w:highlight w:val="white"/>
          <w:lang w:val="en-GB" w:eastAsia="zh-CN" w:bidi="th-TH"/>
        </w:rPr>
        <w:t xml:space="preserve">The Aboriginal </w:t>
      </w:r>
      <w:r w:rsidR="00EA5229">
        <w:rPr>
          <w:highlight w:val="white"/>
          <w:lang w:val="en-GB" w:eastAsia="zh-CN" w:bidi="th-TH"/>
        </w:rPr>
        <w:t>Tent </w:t>
      </w:r>
      <w:r w:rsidRPr="00CE6B92">
        <w:rPr>
          <w:highlight w:val="white"/>
          <w:lang w:val="en-GB" w:eastAsia="zh-CN" w:bidi="th-TH"/>
        </w:rPr>
        <w:t xml:space="preserve">Embassy in Canberra was established in 1972 as a public display of the </w:t>
      </w:r>
      <w:r w:rsidR="00057DF3">
        <w:rPr>
          <w:highlight w:val="white"/>
          <w:lang w:val="en-GB" w:eastAsia="zh-CN" w:bidi="th-TH"/>
        </w:rPr>
        <w:t>First Nation</w:t>
      </w:r>
      <w:r w:rsidRPr="00CE6B92">
        <w:rPr>
          <w:highlight w:val="white"/>
          <w:lang w:val="en-GB" w:eastAsia="zh-CN" w:bidi="th-TH"/>
        </w:rPr>
        <w:t xml:space="preserve">s community’s rejection of </w:t>
      </w:r>
      <w:r w:rsidRPr="008702A4">
        <w:rPr>
          <w:rStyle w:val="Emphasis"/>
          <w:highlight w:val="white"/>
        </w:rPr>
        <w:t>terra nullius</w:t>
      </w:r>
      <w:r w:rsidRPr="008702A4">
        <w:rPr>
          <w:highlight w:val="white"/>
        </w:rPr>
        <w:t>. I</w:t>
      </w:r>
      <w:r w:rsidRPr="00CE6B92">
        <w:rPr>
          <w:highlight w:val="white"/>
          <w:lang w:val="en-GB" w:eastAsia="zh-CN" w:bidi="th-TH"/>
        </w:rPr>
        <w:t xml:space="preserve">t is the site of the longest </w:t>
      </w:r>
      <w:r w:rsidRPr="00CE6B92">
        <w:rPr>
          <w:highlight w:val="white"/>
          <w:lang w:val="en-GB" w:eastAsia="zh-CN" w:bidi="th-TH"/>
        </w:rPr>
        <w:lastRenderedPageBreak/>
        <w:t>protest for Indigenous land rights, sovereignty and self</w:t>
      </w:r>
      <w:r w:rsidR="001404FB">
        <w:rPr>
          <w:highlight w:val="white"/>
          <w:lang w:val="en-GB" w:eastAsia="zh-CN" w:bidi="th-TH"/>
        </w:rPr>
        <w:noBreakHyphen/>
      </w:r>
      <w:r w:rsidRPr="00CE6B92">
        <w:rPr>
          <w:highlight w:val="white"/>
          <w:lang w:val="en-GB" w:eastAsia="zh-CN" w:bidi="th-TH"/>
        </w:rPr>
        <w:t>determination in the world. More</w:t>
      </w:r>
      <w:r w:rsidR="008702A4">
        <w:rPr>
          <w:highlight w:val="white"/>
          <w:lang w:val="en-GB" w:eastAsia="zh-CN" w:bidi="th-TH"/>
        </w:rPr>
        <w:t> </w:t>
      </w:r>
      <w:r w:rsidRPr="00CE6B92">
        <w:rPr>
          <w:highlight w:val="white"/>
          <w:lang w:val="en-GB" w:eastAsia="zh-CN" w:bidi="th-TH"/>
        </w:rPr>
        <w:t xml:space="preserve">than a site of historic and political significance for </w:t>
      </w:r>
      <w:r w:rsidR="00057DF3">
        <w:rPr>
          <w:highlight w:val="white"/>
          <w:lang w:val="en-GB" w:eastAsia="zh-CN" w:bidi="th-TH"/>
        </w:rPr>
        <w:t>First Nation</w:t>
      </w:r>
      <w:r w:rsidRPr="00CE6B92">
        <w:rPr>
          <w:highlight w:val="white"/>
          <w:lang w:val="en-GB" w:eastAsia="zh-CN" w:bidi="th-TH"/>
        </w:rPr>
        <w:t xml:space="preserve">s peoples, the </w:t>
      </w:r>
      <w:r w:rsidR="00EA5229">
        <w:rPr>
          <w:highlight w:val="white"/>
          <w:lang w:val="en-GB" w:eastAsia="zh-CN" w:bidi="th-TH"/>
        </w:rPr>
        <w:t>Tent </w:t>
      </w:r>
      <w:r w:rsidRPr="00CE6B92">
        <w:rPr>
          <w:highlight w:val="white"/>
          <w:lang w:val="en-GB" w:eastAsia="zh-CN" w:bidi="th-TH"/>
        </w:rPr>
        <w:t xml:space="preserve">Embassy can be seen as a cultural institution and social infrastructure for a group historically excluded from public life. The term ‘embassy’ was used to bring attention to the fact Aboriginal and </w:t>
      </w:r>
      <w:r w:rsidR="00057DF3">
        <w:rPr>
          <w:highlight w:val="white"/>
          <w:lang w:val="en-GB" w:eastAsia="zh-CN" w:bidi="th-TH"/>
        </w:rPr>
        <w:t>Torres Strait</w:t>
      </w:r>
      <w:r w:rsidRPr="00CE6B92">
        <w:rPr>
          <w:highlight w:val="white"/>
          <w:lang w:val="en-GB" w:eastAsia="zh-CN" w:bidi="th-TH"/>
        </w:rPr>
        <w:t xml:space="preserve"> Islander people had never ceded sovereignty nor engaged in any treaty process with the Crown and, as such, required a formal representative office. In the more than </w:t>
      </w:r>
      <w:r w:rsidR="00070959">
        <w:rPr>
          <w:highlight w:val="white"/>
          <w:lang w:val="en-GB" w:eastAsia="zh-CN" w:bidi="th-TH"/>
        </w:rPr>
        <w:t>5</w:t>
      </w:r>
      <w:r w:rsidRPr="00CE6B92">
        <w:rPr>
          <w:highlight w:val="white"/>
          <w:lang w:val="en-GB" w:eastAsia="zh-CN" w:bidi="th-TH"/>
        </w:rPr>
        <w:t xml:space="preserve"> decades since its creation, the </w:t>
      </w:r>
      <w:r w:rsidR="00EA5229">
        <w:rPr>
          <w:highlight w:val="white"/>
          <w:lang w:val="en-GB" w:eastAsia="zh-CN" w:bidi="th-TH"/>
        </w:rPr>
        <w:t>Tent</w:t>
      </w:r>
      <w:r w:rsidR="008702A4">
        <w:rPr>
          <w:highlight w:val="white"/>
          <w:lang w:val="en-GB" w:eastAsia="zh-CN" w:bidi="th-TH"/>
        </w:rPr>
        <w:t> </w:t>
      </w:r>
      <w:r w:rsidRPr="00CE6B92">
        <w:rPr>
          <w:highlight w:val="white"/>
          <w:lang w:val="en-GB" w:eastAsia="zh-CN" w:bidi="th-TH"/>
        </w:rPr>
        <w:t xml:space="preserve">Embassy has become a site for continued resistance and </w:t>
      </w:r>
      <w:r w:rsidR="005626AD">
        <w:rPr>
          <w:highlight w:val="white"/>
          <w:lang w:val="en-GB" w:eastAsia="zh-CN" w:bidi="th-TH"/>
        </w:rPr>
        <w:t>‘</w:t>
      </w:r>
      <w:r w:rsidRPr="00CE6B92">
        <w:rPr>
          <w:highlight w:val="white"/>
          <w:lang w:val="en-GB" w:eastAsia="zh-CN" w:bidi="th-TH"/>
        </w:rPr>
        <w:t>a potent symbol rejecting the hypocrisy, deceit and duplicity by successive Australian governments</w:t>
      </w:r>
      <w:r w:rsidR="005626AD">
        <w:rPr>
          <w:highlight w:val="white"/>
          <w:lang w:val="en-GB" w:eastAsia="zh-CN" w:bidi="th-TH"/>
        </w:rPr>
        <w:t>’</w:t>
      </w:r>
      <w:r w:rsidR="00F140F0">
        <w:rPr>
          <w:highlight w:val="white"/>
          <w:lang w:val="en-GB" w:eastAsia="zh-CN" w:bidi="th-TH"/>
        </w:rPr>
        <w:t xml:space="preserve"> (</w:t>
      </w:r>
      <w:r w:rsidR="00B32F59" w:rsidRPr="00CE6B92">
        <w:rPr>
          <w:rFonts w:ascii="Aptos" w:eastAsia="Aptos" w:hAnsi="Aptos" w:cs="Aptos"/>
          <w:szCs w:val="28"/>
          <w:lang w:val="en-GB" w:eastAsia="zh-CN" w:bidi="th-TH"/>
        </w:rPr>
        <w:t>Foley 2013</w:t>
      </w:r>
      <w:r w:rsidR="00F140F0">
        <w:rPr>
          <w:highlight w:val="white"/>
          <w:lang w:val="en-GB" w:eastAsia="zh-CN" w:bidi="th-TH"/>
        </w:rPr>
        <w:t>).</w:t>
      </w:r>
      <w:r w:rsidRPr="00CE6B92">
        <w:rPr>
          <w:highlight w:val="white"/>
          <w:lang w:val="en-GB" w:eastAsia="zh-CN" w:bidi="th-TH"/>
        </w:rPr>
        <w:t xml:space="preserve"> It</w:t>
      </w:r>
      <w:r w:rsidR="00EA5229">
        <w:rPr>
          <w:highlight w:val="white"/>
          <w:lang w:val="en-GB" w:eastAsia="zh-CN" w:bidi="th-TH"/>
        </w:rPr>
        <w:t> </w:t>
      </w:r>
      <w:r w:rsidRPr="00CE6B92">
        <w:rPr>
          <w:highlight w:val="white"/>
          <w:lang w:val="en-GB" w:eastAsia="zh-CN" w:bidi="th-TH"/>
        </w:rPr>
        <w:t>provides and has endured expressly because it relies on deliberation, shared objectives and shared meaning</w:t>
      </w:r>
      <w:r w:rsidR="001404FB">
        <w:rPr>
          <w:highlight w:val="white"/>
          <w:lang w:val="en-GB" w:eastAsia="zh-CN" w:bidi="th-TH"/>
        </w:rPr>
        <w:noBreakHyphen/>
      </w:r>
      <w:r w:rsidRPr="00CE6B92">
        <w:rPr>
          <w:highlight w:val="white"/>
          <w:lang w:val="en-GB" w:eastAsia="zh-CN" w:bidi="th-TH"/>
        </w:rPr>
        <w:t>making and the bridging and bonding ties created during these processes</w:t>
      </w:r>
      <w:r w:rsidR="00F140F0">
        <w:rPr>
          <w:highlight w:val="white"/>
          <w:lang w:val="en-GB" w:eastAsia="zh-CN" w:bidi="th-TH"/>
        </w:rPr>
        <w:t xml:space="preserve"> (</w:t>
      </w:r>
      <w:r w:rsidR="00B32F59" w:rsidRPr="00CE6B92">
        <w:rPr>
          <w:rFonts w:ascii="Aptos" w:eastAsia="Aptos" w:hAnsi="Aptos" w:cs="Aptos"/>
          <w:szCs w:val="28"/>
          <w:lang w:val="en-GB" w:eastAsia="zh-CN" w:bidi="th-TH"/>
        </w:rPr>
        <w:t>Carslon and Coe</w:t>
      </w:r>
      <w:r w:rsidR="00B32F59">
        <w:rPr>
          <w:rFonts w:ascii="Aptos" w:eastAsia="Aptos" w:hAnsi="Aptos" w:cs="Aptos"/>
          <w:szCs w:val="28"/>
          <w:lang w:val="en-GB" w:eastAsia="zh-CN" w:bidi="th-TH"/>
        </w:rPr>
        <w:t xml:space="preserve"> </w:t>
      </w:r>
      <w:r w:rsidR="00676474">
        <w:rPr>
          <w:rFonts w:ascii="Aptos" w:eastAsia="Aptos" w:hAnsi="Aptos" w:cs="Aptos"/>
          <w:szCs w:val="28"/>
          <w:lang w:val="en-GB" w:eastAsia="zh-CN" w:bidi="th-TH"/>
        </w:rPr>
        <w:t xml:space="preserve">2022; </w:t>
      </w:r>
      <w:r w:rsidR="00676474" w:rsidRPr="00CE6B92">
        <w:rPr>
          <w:rFonts w:ascii="Aptos" w:eastAsia="Aptos" w:hAnsi="Aptos" w:cs="Aptos"/>
          <w:szCs w:val="28"/>
          <w:lang w:val="en-GB" w:eastAsia="zh-CN" w:bidi="th-TH"/>
        </w:rPr>
        <w:t>Coe</w:t>
      </w:r>
      <w:r w:rsidR="00676474">
        <w:rPr>
          <w:rFonts w:ascii="Aptos" w:eastAsia="Aptos" w:hAnsi="Aptos" w:cs="Aptos"/>
          <w:szCs w:val="28"/>
          <w:lang w:val="en-GB" w:eastAsia="zh-CN" w:bidi="th-TH"/>
        </w:rPr>
        <w:t xml:space="preserve"> 2024</w:t>
      </w:r>
      <w:r w:rsidR="00F140F0">
        <w:rPr>
          <w:highlight w:val="white"/>
          <w:lang w:val="en-GB" w:eastAsia="zh-CN" w:bidi="th-TH"/>
        </w:rPr>
        <w:t>).</w:t>
      </w:r>
    </w:p>
    <w:p w14:paraId="7147444F" w14:textId="79B2D74F" w:rsidR="00CE6B92" w:rsidRPr="00CE6B92" w:rsidRDefault="00CE6B92" w:rsidP="001B7F4E">
      <w:pPr>
        <w:rPr>
          <w:lang w:val="en-GB" w:eastAsia="zh-CN" w:bidi="th-TH"/>
        </w:rPr>
      </w:pPr>
      <w:r w:rsidRPr="00CE6B92">
        <w:rPr>
          <w:lang w:val="en-GB" w:eastAsia="zh-CN" w:bidi="th-TH"/>
        </w:rPr>
        <w:t>Evidence on networked approaches to COVID</w:t>
      </w:r>
      <w:r w:rsidR="001404FB">
        <w:rPr>
          <w:lang w:val="en-GB" w:eastAsia="zh-CN" w:bidi="th-TH"/>
        </w:rPr>
        <w:noBreakHyphen/>
      </w:r>
      <w:r w:rsidRPr="00CE6B92">
        <w:rPr>
          <w:lang w:val="en-GB" w:eastAsia="zh-CN" w:bidi="th-TH"/>
        </w:rPr>
        <w:t xml:space="preserve">19 vaccine hesitancy among </w:t>
      </w:r>
      <w:r w:rsidR="00057DF3">
        <w:rPr>
          <w:lang w:val="en-GB" w:eastAsia="zh-CN" w:bidi="th-TH"/>
        </w:rPr>
        <w:t>First Nation</w:t>
      </w:r>
      <w:r w:rsidRPr="00CE6B92">
        <w:rPr>
          <w:lang w:val="en-GB" w:eastAsia="zh-CN" w:bidi="th-TH"/>
        </w:rPr>
        <w:t>s communities highlights the utility of cultural and community institutions in overcoming</w:t>
      </w:r>
      <w:r w:rsidR="00EA5229">
        <w:rPr>
          <w:lang w:val="en-GB" w:eastAsia="zh-CN" w:bidi="th-TH"/>
        </w:rPr>
        <w:t xml:space="preserve"> mis- </w:t>
      </w:r>
      <w:r w:rsidR="001B7F4E">
        <w:rPr>
          <w:lang w:val="en-GB" w:eastAsia="zh-CN" w:bidi="th-TH"/>
        </w:rPr>
        <w:t>and disinformation</w:t>
      </w:r>
      <w:r w:rsidRPr="00CE6B92">
        <w:rPr>
          <w:lang w:val="en-GB" w:eastAsia="zh-CN" w:bidi="th-TH"/>
        </w:rPr>
        <w:t xml:space="preserve">. With a long history of official systems that have actively upheld falsehoods and disregarded Aboriginal and </w:t>
      </w:r>
      <w:r w:rsidR="00057DF3">
        <w:rPr>
          <w:lang w:val="en-GB" w:eastAsia="zh-CN" w:bidi="th-TH"/>
        </w:rPr>
        <w:t>Torres Strait</w:t>
      </w:r>
      <w:r w:rsidRPr="00CE6B92">
        <w:rPr>
          <w:lang w:val="en-GB" w:eastAsia="zh-CN" w:bidi="th-TH"/>
        </w:rPr>
        <w:t xml:space="preserve"> Islander knowledge systems, an understandable culture of scepticism towards official information and structures has emerged. This helps explain how</w:t>
      </w:r>
      <w:r w:rsidR="00EA5229">
        <w:rPr>
          <w:lang w:val="en-GB" w:eastAsia="zh-CN" w:bidi="th-TH"/>
        </w:rPr>
        <w:t xml:space="preserve"> mis- </w:t>
      </w:r>
      <w:r w:rsidR="001B7F4E">
        <w:rPr>
          <w:lang w:val="en-GB" w:eastAsia="zh-CN" w:bidi="th-TH"/>
        </w:rPr>
        <w:t>and disinformation</w:t>
      </w:r>
      <w:r w:rsidRPr="00CE6B92">
        <w:rPr>
          <w:lang w:val="en-GB" w:eastAsia="zh-CN" w:bidi="th-TH"/>
        </w:rPr>
        <w:t xml:space="preserve"> was able to take hold during the pandemic and impacted vaccination rates in some communities. The most effective strategies for addressing vaccine related</w:t>
      </w:r>
      <w:r w:rsidR="00EA5229">
        <w:rPr>
          <w:lang w:val="en-GB" w:eastAsia="zh-CN" w:bidi="th-TH"/>
        </w:rPr>
        <w:t xml:space="preserve"> mis- </w:t>
      </w:r>
      <w:r w:rsidR="001B7F4E">
        <w:rPr>
          <w:lang w:val="en-GB" w:eastAsia="zh-CN" w:bidi="th-TH"/>
        </w:rPr>
        <w:t>and disinformation</w:t>
      </w:r>
      <w:r w:rsidRPr="00CE6B92">
        <w:rPr>
          <w:lang w:val="en-GB" w:eastAsia="zh-CN" w:bidi="th-TH"/>
        </w:rPr>
        <w:t xml:space="preserve"> were community</w:t>
      </w:r>
      <w:r w:rsidR="001404FB">
        <w:rPr>
          <w:lang w:val="en-GB" w:eastAsia="zh-CN" w:bidi="th-TH"/>
        </w:rPr>
        <w:noBreakHyphen/>
      </w:r>
      <w:r w:rsidRPr="00CE6B92">
        <w:rPr>
          <w:lang w:val="en-GB" w:eastAsia="zh-CN" w:bidi="th-TH"/>
        </w:rPr>
        <w:t xml:space="preserve">led, situated in local cultural and linguistic settings and leveraged trusted individuals and institutions as the sources of information. </w:t>
      </w:r>
      <w:bookmarkStart w:id="44" w:name="_Hlk220607295"/>
      <w:r w:rsidRPr="00CE6B92">
        <w:rPr>
          <w:lang w:val="en-GB" w:eastAsia="zh-CN" w:bidi="th-TH"/>
        </w:rPr>
        <w:t xml:space="preserve">For instance, partnerships between the National Aboriginal Community Controlled Health Organisation, frontline healthcare workers and </w:t>
      </w:r>
      <w:r w:rsidR="00057DF3">
        <w:rPr>
          <w:lang w:val="en-GB" w:eastAsia="zh-CN" w:bidi="th-TH"/>
        </w:rPr>
        <w:t>First Nation</w:t>
      </w:r>
      <w:r w:rsidRPr="00CE6B92">
        <w:rPr>
          <w:lang w:val="en-GB" w:eastAsia="zh-CN" w:bidi="th-TH"/>
        </w:rPr>
        <w:t>s church leaders saw tailored education and pre</w:t>
      </w:r>
      <w:r w:rsidR="001404FB">
        <w:rPr>
          <w:lang w:val="en-GB" w:eastAsia="zh-CN" w:bidi="th-TH"/>
        </w:rPr>
        <w:noBreakHyphen/>
      </w:r>
      <w:r w:rsidRPr="00CE6B92">
        <w:rPr>
          <w:lang w:val="en-GB" w:eastAsia="zh-CN" w:bidi="th-TH"/>
        </w:rPr>
        <w:t xml:space="preserve"> debunking campaigns, leading to increased vaccination rates among communities</w:t>
      </w:r>
      <w:r w:rsidR="00F140F0">
        <w:rPr>
          <w:lang w:val="en-GB" w:eastAsia="zh-CN" w:bidi="th-TH"/>
        </w:rPr>
        <w:t xml:space="preserve"> (</w:t>
      </w:r>
      <w:r w:rsidR="00676474" w:rsidRPr="00CE6B92">
        <w:rPr>
          <w:rFonts w:ascii="Aptos" w:eastAsia="Aptos" w:hAnsi="Aptos" w:cs="Aptos"/>
          <w:szCs w:val="28"/>
          <w:lang w:val="en-GB" w:eastAsia="zh-CN" w:bidi="th-TH"/>
        </w:rPr>
        <w:t>Crooks</w:t>
      </w:r>
      <w:r w:rsidR="00676474">
        <w:rPr>
          <w:rFonts w:ascii="Aptos" w:eastAsia="Aptos" w:hAnsi="Aptos" w:cs="Aptos"/>
          <w:szCs w:val="28"/>
          <w:lang w:val="en-GB" w:eastAsia="zh-CN" w:bidi="th-TH"/>
        </w:rPr>
        <w:t xml:space="preserve"> et al. 2020; </w:t>
      </w:r>
      <w:r w:rsidR="00676474" w:rsidRPr="00CE6B92">
        <w:rPr>
          <w:rFonts w:ascii="Aptos" w:eastAsia="Aptos" w:hAnsi="Aptos" w:cs="Aptos"/>
          <w:szCs w:val="28"/>
          <w:lang w:val="en-GB" w:eastAsia="zh-CN" w:bidi="th-TH"/>
        </w:rPr>
        <w:t>Fredericks</w:t>
      </w:r>
      <w:r w:rsidR="00676474">
        <w:rPr>
          <w:rFonts w:ascii="Aptos" w:eastAsia="Aptos" w:hAnsi="Aptos" w:cs="Aptos"/>
          <w:szCs w:val="28"/>
          <w:lang w:val="en-GB" w:eastAsia="zh-CN" w:bidi="th-TH"/>
        </w:rPr>
        <w:t xml:space="preserve"> et al. </w:t>
      </w:r>
      <w:r w:rsidR="00CA0A8D">
        <w:rPr>
          <w:rFonts w:ascii="Aptos" w:eastAsia="Aptos" w:hAnsi="Aptos" w:cs="Aptos"/>
          <w:szCs w:val="28"/>
          <w:lang w:val="en-GB" w:eastAsia="zh-CN" w:bidi="th-TH"/>
        </w:rPr>
        <w:t>2023</w:t>
      </w:r>
      <w:r w:rsidR="00F140F0">
        <w:rPr>
          <w:lang w:val="en-GB" w:eastAsia="zh-CN" w:bidi="th-TH"/>
        </w:rPr>
        <w:t>).</w:t>
      </w:r>
      <w:bookmarkEnd w:id="44"/>
    </w:p>
    <w:p w14:paraId="67C3B3A2" w14:textId="77777777" w:rsidR="001B7F4E" w:rsidRPr="00823367" w:rsidRDefault="001B7F4E" w:rsidP="00823367">
      <w:r>
        <w:rPr>
          <w:lang w:val="en-GB" w:eastAsia="zh-CN" w:bidi="th-TH"/>
        </w:rPr>
        <w:br w:type="page"/>
      </w:r>
    </w:p>
    <w:p w14:paraId="5614789E" w14:textId="52C8431E" w:rsidR="00CE6B92" w:rsidRPr="00CE6B92" w:rsidRDefault="00CE6B92" w:rsidP="00823367">
      <w:pPr>
        <w:pStyle w:val="Heading2"/>
        <w:rPr>
          <w:lang w:val="en-GB" w:eastAsia="zh-CN" w:bidi="th-TH"/>
        </w:rPr>
      </w:pPr>
      <w:bookmarkStart w:id="45" w:name="_Toc218517323"/>
      <w:r w:rsidRPr="00823367">
        <w:lastRenderedPageBreak/>
        <w:t>References</w:t>
      </w:r>
      <w:bookmarkEnd w:id="45"/>
      <w:r w:rsidRPr="00CE6B92">
        <w:rPr>
          <w:lang w:val="en-GB" w:eastAsia="zh-CN" w:bidi="th-TH"/>
        </w:rPr>
        <w:t xml:space="preserve"> </w:t>
      </w:r>
    </w:p>
    <w:p w14:paraId="6A643138" w14:textId="3619B0E1" w:rsidR="00CE6B92" w:rsidRPr="00CE6B92" w:rsidRDefault="00CE6B92" w:rsidP="005D7D39">
      <w:pPr>
        <w:shd w:val="clear" w:color="auto" w:fill="FFFFFF"/>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ACARA (Australian Curriculum, Assessment and Reporting Authority) (2020) </w:t>
      </w:r>
      <w:hyperlink r:id="rId16">
        <w:r w:rsidRPr="00413B4D">
          <w:rPr>
            <w:rStyle w:val="Hyperlink"/>
            <w:i/>
            <w:iCs/>
          </w:rPr>
          <w:t>National assessment Program civics and citizenship 2019 national report</w:t>
        </w:r>
      </w:hyperlink>
      <w:r w:rsidR="00167F1B">
        <w:rPr>
          <w:i/>
          <w:iCs/>
        </w:rPr>
        <w:t xml:space="preserve"> </w:t>
      </w:r>
      <w:r w:rsidR="00167F1B">
        <w:t>[PDF]</w:t>
      </w:r>
      <w:r w:rsidRPr="00CE6B92">
        <w:rPr>
          <w:rFonts w:ascii="Aptos" w:eastAsia="Aptos" w:hAnsi="Aptos" w:cs="Aptos"/>
          <w:szCs w:val="28"/>
          <w:lang w:val="en-GB" w:eastAsia="zh-CN" w:bidi="th-TH"/>
        </w:rPr>
        <w:t>, ACARA, Syd</w:t>
      </w:r>
      <w:r w:rsidR="0083019E">
        <w:rPr>
          <w:rFonts w:ascii="Aptos" w:eastAsia="Aptos" w:hAnsi="Aptos" w:cs="Aptos"/>
          <w:szCs w:val="28"/>
          <w:lang w:val="en-GB" w:eastAsia="zh-CN" w:bidi="th-TH"/>
        </w:rPr>
        <w:t>n</w:t>
      </w:r>
      <w:r w:rsidRPr="00CE6B92">
        <w:rPr>
          <w:rFonts w:ascii="Aptos" w:eastAsia="Aptos" w:hAnsi="Aptos" w:cs="Aptos"/>
          <w:szCs w:val="28"/>
          <w:lang w:val="en-GB" w:eastAsia="zh-CN" w:bidi="th-TH"/>
        </w:rPr>
        <w:t>ey.</w:t>
      </w:r>
    </w:p>
    <w:p w14:paraId="20C119CC" w14:textId="25A35CF5" w:rsidR="00CE6B92" w:rsidRPr="00CE6B92" w:rsidRDefault="00CE6B92" w:rsidP="005D7D39">
      <w:pPr>
        <w:shd w:val="clear" w:color="auto" w:fill="FFFFFF"/>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ACARA (2024) </w:t>
      </w:r>
      <w:hyperlink r:id="rId17">
        <w:r w:rsidRPr="00413B4D">
          <w:rPr>
            <w:rStyle w:val="Hyperlink"/>
            <w:i/>
            <w:iCs/>
          </w:rPr>
          <w:t>National assessment program civics and citizenship 2024 public report</w:t>
        </w:r>
      </w:hyperlink>
      <w:r w:rsidR="00167F1B">
        <w:t xml:space="preserve"> [PDF]</w:t>
      </w:r>
      <w:r w:rsidRPr="00CE6B92">
        <w:rPr>
          <w:rFonts w:ascii="Aptos" w:eastAsia="Aptos" w:hAnsi="Aptos" w:cs="Aptos"/>
          <w:i/>
          <w:iCs/>
          <w:szCs w:val="28"/>
          <w:lang w:val="en-GB" w:eastAsia="zh-CN" w:bidi="th-TH"/>
        </w:rPr>
        <w:t xml:space="preserve">, </w:t>
      </w:r>
      <w:r w:rsidRPr="00CE6B92">
        <w:rPr>
          <w:rFonts w:ascii="Aptos" w:eastAsia="Aptos" w:hAnsi="Aptos" w:cs="Aptos"/>
          <w:szCs w:val="28"/>
          <w:lang w:val="en-GB" w:eastAsia="zh-CN" w:bidi="th-TH"/>
        </w:rPr>
        <w:t>ACARA, Syd</w:t>
      </w:r>
      <w:r w:rsidR="0083019E">
        <w:rPr>
          <w:rFonts w:ascii="Aptos" w:eastAsia="Aptos" w:hAnsi="Aptos" w:cs="Aptos"/>
          <w:szCs w:val="28"/>
          <w:lang w:val="en-GB" w:eastAsia="zh-CN" w:bidi="th-TH"/>
        </w:rPr>
        <w:t>n</w:t>
      </w:r>
      <w:r w:rsidRPr="00CE6B92">
        <w:rPr>
          <w:rFonts w:ascii="Aptos" w:eastAsia="Aptos" w:hAnsi="Aptos" w:cs="Aptos"/>
          <w:szCs w:val="28"/>
          <w:lang w:val="en-GB" w:eastAsia="zh-CN" w:bidi="th-TH"/>
        </w:rPr>
        <w:t>ey.</w:t>
      </w:r>
    </w:p>
    <w:p w14:paraId="2B076287" w14:textId="0731E685"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Ackermann B and Alstott A (1999) </w:t>
      </w:r>
      <w:r w:rsidRPr="00CE6B92">
        <w:rPr>
          <w:rFonts w:ascii="Aptos" w:eastAsia="Aptos" w:hAnsi="Aptos" w:cs="Aptos"/>
          <w:i/>
          <w:iCs/>
          <w:szCs w:val="28"/>
          <w:lang w:val="en-GB" w:eastAsia="zh-CN" w:bidi="th-TH"/>
        </w:rPr>
        <w:t xml:space="preserve">The stakeholder society, </w:t>
      </w:r>
      <w:r w:rsidRPr="00CE6B92">
        <w:rPr>
          <w:rFonts w:ascii="Aptos" w:eastAsia="Aptos" w:hAnsi="Aptos" w:cs="Aptos"/>
          <w:szCs w:val="28"/>
          <w:lang w:val="en-GB" w:eastAsia="zh-CN" w:bidi="th-TH"/>
        </w:rPr>
        <w:t xml:space="preserve">Yale University Press, New Haven. </w:t>
      </w:r>
    </w:p>
    <w:p w14:paraId="555BB074" w14:textId="420DF94D"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AEC (Australian Electoral Commission) (2024</w:t>
      </w:r>
      <w:r w:rsidR="001E786E">
        <w:rPr>
          <w:rFonts w:ascii="Aptos" w:eastAsia="Aptos" w:hAnsi="Aptos" w:cs="Aptos"/>
          <w:szCs w:val="28"/>
          <w:lang w:val="en-GB" w:eastAsia="zh-CN" w:bidi="th-TH"/>
        </w:rPr>
        <w:t>a</w:t>
      </w:r>
      <w:r w:rsidRPr="00CE6B92">
        <w:rPr>
          <w:rFonts w:ascii="Aptos" w:eastAsia="Aptos" w:hAnsi="Aptos" w:cs="Aptos"/>
          <w:szCs w:val="28"/>
          <w:lang w:val="en-GB" w:eastAsia="zh-CN" w:bidi="th-TH"/>
        </w:rPr>
        <w:t xml:space="preserve">) </w:t>
      </w:r>
      <w:hyperlink r:id="rId18">
        <w:r w:rsidRPr="00413B4D">
          <w:rPr>
            <w:rStyle w:val="Hyperlink"/>
            <w:i/>
            <w:iCs/>
          </w:rPr>
          <w:t>Australian Electoral Commission Annual Report 2023-24</w:t>
        </w:r>
      </w:hyperlink>
      <w:r w:rsidR="000D5AD7">
        <w:t xml:space="preserve"> [PDF]</w:t>
      </w:r>
      <w:r w:rsidRPr="00CE6B92">
        <w:rPr>
          <w:rFonts w:ascii="Aptos" w:eastAsia="Aptos" w:hAnsi="Aptos" w:cs="Aptos"/>
          <w:i/>
          <w:iCs/>
          <w:szCs w:val="28"/>
          <w:lang w:val="en-GB" w:eastAsia="zh-CN" w:bidi="th-TH"/>
        </w:rPr>
        <w:t>,</w:t>
      </w:r>
      <w:r w:rsidRPr="00CE6B92">
        <w:rPr>
          <w:rFonts w:ascii="Aptos" w:eastAsia="Aptos" w:hAnsi="Aptos" w:cs="Aptos"/>
          <w:szCs w:val="28"/>
          <w:lang w:val="en-GB" w:eastAsia="zh-CN" w:bidi="th-TH"/>
        </w:rPr>
        <w:t xml:space="preserve"> Commonwealth of Australia, Canberra.</w:t>
      </w:r>
    </w:p>
    <w:p w14:paraId="398D430F" w14:textId="42B72745"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AEC (2024</w:t>
      </w:r>
      <w:r w:rsidR="001E786E">
        <w:rPr>
          <w:rFonts w:ascii="Aptos" w:eastAsia="Aptos" w:hAnsi="Aptos" w:cs="Aptos"/>
          <w:szCs w:val="28"/>
          <w:lang w:val="en-GB" w:eastAsia="zh-CN" w:bidi="th-TH"/>
        </w:rPr>
        <w:t>b</w:t>
      </w:r>
      <w:r w:rsidRPr="00CE6B92">
        <w:rPr>
          <w:rFonts w:ascii="Aptos" w:eastAsia="Aptos" w:hAnsi="Aptos" w:cs="Aptos"/>
          <w:szCs w:val="28"/>
          <w:lang w:val="en-GB" w:eastAsia="zh-CN" w:bidi="th-TH"/>
        </w:rPr>
        <w:t xml:space="preserve">) </w:t>
      </w:r>
      <w:hyperlink r:id="rId19">
        <w:r w:rsidRPr="0059173F">
          <w:rPr>
            <w:rStyle w:val="Hyperlink"/>
            <w:i/>
            <w:iCs/>
          </w:rPr>
          <w:t>The AEC’s role</w:t>
        </w:r>
      </w:hyperlink>
      <w:r w:rsidRPr="00CE6B92">
        <w:rPr>
          <w:rFonts w:ascii="Aptos" w:eastAsia="Aptos" w:hAnsi="Aptos" w:cs="Aptos"/>
          <w:szCs w:val="28"/>
          <w:lang w:val="en-GB" w:eastAsia="zh-CN" w:bidi="th-TH"/>
        </w:rPr>
        <w:t>, Australian Electoral Commission, accessed 5</w:t>
      </w:r>
      <w:r w:rsidR="00EA5229">
        <w:rPr>
          <w:rFonts w:ascii="Aptos" w:eastAsia="Aptos" w:hAnsi="Aptos" w:cs="Aptos"/>
          <w:szCs w:val="28"/>
          <w:lang w:val="en-GB" w:eastAsia="zh-CN" w:bidi="th-TH"/>
        </w:rPr>
        <w:t> </w:t>
      </w:r>
      <w:r w:rsidRPr="00CE6B92">
        <w:rPr>
          <w:rFonts w:ascii="Aptos" w:eastAsia="Aptos" w:hAnsi="Aptos" w:cs="Aptos"/>
          <w:szCs w:val="28"/>
          <w:lang w:val="en-GB" w:eastAsia="zh-CN" w:bidi="th-TH"/>
        </w:rPr>
        <w:t xml:space="preserve">December 2024. </w:t>
      </w:r>
    </w:p>
    <w:p w14:paraId="7B526605" w14:textId="181510C8"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AEC (2024</w:t>
      </w:r>
      <w:r w:rsidR="001E786E">
        <w:rPr>
          <w:rFonts w:ascii="Aptos" w:eastAsia="Aptos" w:hAnsi="Aptos" w:cs="Aptos"/>
          <w:szCs w:val="28"/>
          <w:lang w:val="en-GB" w:eastAsia="zh-CN" w:bidi="th-TH"/>
        </w:rPr>
        <w:t>c</w:t>
      </w:r>
      <w:r w:rsidRPr="00CE6B92">
        <w:rPr>
          <w:rFonts w:ascii="Aptos" w:eastAsia="Aptos" w:hAnsi="Aptos" w:cs="Aptos"/>
          <w:szCs w:val="28"/>
          <w:lang w:val="en-GB" w:eastAsia="zh-CN" w:bidi="th-TH"/>
        </w:rPr>
        <w:t xml:space="preserve">) </w:t>
      </w:r>
      <w:hyperlink r:id="rId20">
        <w:r w:rsidRPr="0059173F">
          <w:rPr>
            <w:rStyle w:val="Hyperlink"/>
            <w:i/>
            <w:iCs/>
          </w:rPr>
          <w:t>Disinformation register</w:t>
        </w:r>
      </w:hyperlink>
      <w:r w:rsidRPr="00CE6B92">
        <w:rPr>
          <w:rFonts w:ascii="Arial" w:eastAsia="Arial" w:hAnsi="Arial" w:cs="Arial"/>
          <w:szCs w:val="28"/>
          <w:lang w:val="en-GB" w:eastAsia="zh-CN" w:bidi="th-TH"/>
        </w:rPr>
        <w:t>,</w:t>
      </w:r>
      <w:r w:rsidRPr="00CE6B92">
        <w:rPr>
          <w:rFonts w:ascii="Aptos" w:eastAsia="Aptos" w:hAnsi="Aptos" w:cs="Aptos"/>
          <w:i/>
          <w:iCs/>
          <w:szCs w:val="28"/>
          <w:lang w:val="en-GB" w:eastAsia="zh-CN" w:bidi="th-TH"/>
        </w:rPr>
        <w:t xml:space="preserve"> </w:t>
      </w:r>
      <w:r w:rsidRPr="00CE6B92">
        <w:rPr>
          <w:rFonts w:ascii="Aptos" w:eastAsia="Aptos" w:hAnsi="Aptos" w:cs="Aptos"/>
          <w:szCs w:val="28"/>
          <w:lang w:val="en-GB" w:eastAsia="zh-CN" w:bidi="th-TH"/>
        </w:rPr>
        <w:t>Australian Electoral Commission, accessed 5</w:t>
      </w:r>
      <w:r w:rsidR="00EA5229">
        <w:rPr>
          <w:rFonts w:ascii="Aptos" w:eastAsia="Aptos" w:hAnsi="Aptos" w:cs="Aptos"/>
          <w:szCs w:val="28"/>
          <w:lang w:val="en-GB" w:eastAsia="zh-CN" w:bidi="th-TH"/>
        </w:rPr>
        <w:t> </w:t>
      </w:r>
      <w:r w:rsidRPr="00CE6B92">
        <w:rPr>
          <w:rFonts w:ascii="Aptos" w:eastAsia="Aptos" w:hAnsi="Aptos" w:cs="Aptos"/>
          <w:szCs w:val="28"/>
          <w:lang w:val="en-GB" w:eastAsia="zh-CN" w:bidi="th-TH"/>
        </w:rPr>
        <w:t xml:space="preserve">December 2024. </w:t>
      </w:r>
    </w:p>
    <w:p w14:paraId="2320CA46" w14:textId="102BAD1A"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AEC (2020)</w:t>
      </w:r>
      <w:hyperlink r:id="rId21">
        <w:r w:rsidRPr="00CE6B92">
          <w:rPr>
            <w:rFonts w:ascii="Aptos" w:eastAsia="Aptos" w:hAnsi="Aptos" w:cs="Aptos"/>
            <w:szCs w:val="28"/>
            <w:u w:val="single"/>
            <w:lang w:val="en-GB" w:eastAsia="zh-CN" w:bidi="th-TH"/>
          </w:rPr>
          <w:t xml:space="preserve"> </w:t>
        </w:r>
      </w:hyperlink>
      <w:hyperlink r:id="rId22">
        <w:r w:rsidRPr="0059173F">
          <w:rPr>
            <w:rStyle w:val="Hyperlink"/>
            <w:i/>
            <w:iCs/>
          </w:rPr>
          <w:t>Australian Electoral Commission Annual Report 2019-20</w:t>
        </w:r>
      </w:hyperlink>
      <w:r w:rsidRPr="00CE6B92">
        <w:rPr>
          <w:rFonts w:ascii="Aptos" w:eastAsia="Aptos" w:hAnsi="Aptos" w:cs="Aptos"/>
          <w:szCs w:val="28"/>
          <w:lang w:val="en-GB" w:eastAsia="zh-CN" w:bidi="th-TH"/>
        </w:rPr>
        <w:t xml:space="preserve">, Transparency Portal, accessed 5 December 2024. </w:t>
      </w:r>
    </w:p>
    <w:p w14:paraId="3BFCAE08" w14:textId="77777777"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Aldrich DP (2012) </w:t>
      </w:r>
      <w:r w:rsidRPr="00CE6B92">
        <w:rPr>
          <w:rFonts w:ascii="Aptos" w:eastAsia="Aptos" w:hAnsi="Aptos" w:cs="Aptos"/>
          <w:i/>
          <w:iCs/>
          <w:szCs w:val="28"/>
          <w:lang w:val="en-GB" w:eastAsia="zh-CN" w:bidi="th-TH"/>
        </w:rPr>
        <w:t>Building resilience: Social capital in post-disaster recovery,</w:t>
      </w:r>
      <w:r w:rsidRPr="00CE6B92">
        <w:rPr>
          <w:rFonts w:ascii="Aptos" w:eastAsia="Aptos" w:hAnsi="Aptos" w:cs="Aptos"/>
          <w:szCs w:val="28"/>
          <w:lang w:val="en-GB" w:eastAsia="zh-CN" w:bidi="th-TH"/>
        </w:rPr>
        <w:t xml:space="preserve"> University of Chicago Press, Chicago. </w:t>
      </w:r>
    </w:p>
    <w:p w14:paraId="3480503D" w14:textId="4EC309C5" w:rsidR="005C32BE" w:rsidRPr="005C32BE" w:rsidRDefault="005C32BE" w:rsidP="005D7D39">
      <w:pPr>
        <w:rPr>
          <w:rFonts w:ascii="Aptos" w:eastAsia="Aptos" w:hAnsi="Aptos" w:cs="Aptos"/>
          <w:szCs w:val="28"/>
          <w:lang w:val="en-GB" w:eastAsia="zh-CN" w:bidi="th-TH"/>
        </w:rPr>
      </w:pPr>
      <w:r w:rsidRPr="005C32BE">
        <w:rPr>
          <w:rFonts w:ascii="Aptos" w:eastAsia="Aptos" w:hAnsi="Aptos" w:cs="Aptos"/>
          <w:szCs w:val="28"/>
          <w:lang w:val="en-GB" w:eastAsia="zh-CN" w:bidi="th-TH"/>
        </w:rPr>
        <w:t xml:space="preserve">Aldrich DP (2023a) </w:t>
      </w:r>
      <w:hyperlink r:id="rId23" w:history="1">
        <w:r w:rsidRPr="005C32BE">
          <w:rPr>
            <w:rStyle w:val="Hyperlink"/>
            <w:rFonts w:ascii="Aptos" w:eastAsia="Aptos" w:hAnsi="Aptos" w:cs="Aptos"/>
            <w:i/>
            <w:iCs/>
            <w:szCs w:val="28"/>
            <w:lang w:val="en-GB" w:eastAsia="zh-CN" w:bidi="th-TH"/>
          </w:rPr>
          <w:t>How libraries (and other social infrastructure spaces) will save us: The critical role of social infrastructure in democratic resilience</w:t>
        </w:r>
      </w:hyperlink>
      <w:r w:rsidR="00D5225D">
        <w:t xml:space="preserve"> [PDF]</w:t>
      </w:r>
      <w:r w:rsidR="00D85550">
        <w:t xml:space="preserve"> (lecture)</w:t>
      </w:r>
      <w:r w:rsidRPr="005C32BE">
        <w:rPr>
          <w:rFonts w:ascii="Aptos" w:eastAsia="Aptos" w:hAnsi="Aptos" w:cs="Aptos"/>
          <w:szCs w:val="28"/>
          <w:lang w:val="en-GB" w:eastAsia="zh-CN" w:bidi="th-TH"/>
        </w:rPr>
        <w:t>, Fulbright Flinders University Lecture Series 8.</w:t>
      </w:r>
    </w:p>
    <w:p w14:paraId="6BA58FC2" w14:textId="2C887DE1" w:rsidR="00AB4BE8" w:rsidRPr="00AB4BE8" w:rsidRDefault="00CE6B92" w:rsidP="005D7D39">
      <w:pPr>
        <w:rPr>
          <w:rFonts w:ascii="Aptos" w:eastAsia="Aptos" w:hAnsi="Aptos" w:cs="Aptos"/>
          <w:szCs w:val="28"/>
          <w:lang w:val="en-GB" w:eastAsia="zh-CN" w:bidi="th-TH"/>
        </w:rPr>
      </w:pPr>
      <w:r w:rsidRPr="00AB4BE8">
        <w:rPr>
          <w:rFonts w:ascii="Aptos" w:eastAsia="Aptos" w:hAnsi="Aptos" w:cs="Aptos"/>
          <w:szCs w:val="28"/>
          <w:lang w:val="en-GB" w:eastAsia="zh-CN" w:bidi="th-TH"/>
        </w:rPr>
        <w:t>Aldrich DP (2023</w:t>
      </w:r>
      <w:r w:rsidR="001D3FF5" w:rsidRPr="00AB4BE8">
        <w:rPr>
          <w:rFonts w:ascii="Aptos" w:eastAsia="Aptos" w:hAnsi="Aptos" w:cs="Aptos"/>
          <w:szCs w:val="28"/>
          <w:lang w:val="en-GB" w:eastAsia="zh-CN" w:bidi="th-TH"/>
        </w:rPr>
        <w:t>b</w:t>
      </w:r>
      <w:r w:rsidRPr="00AB4BE8">
        <w:rPr>
          <w:rFonts w:ascii="Aptos" w:eastAsia="Aptos" w:hAnsi="Aptos" w:cs="Aptos"/>
          <w:szCs w:val="28"/>
          <w:lang w:val="en-GB" w:eastAsia="zh-CN" w:bidi="th-TH"/>
        </w:rPr>
        <w:t xml:space="preserve">) ‘How social infrastructure saves lives: A quantitative analysis of Japan's 3/11 disasters’, </w:t>
      </w:r>
      <w:r w:rsidRPr="00AB4BE8">
        <w:rPr>
          <w:rFonts w:ascii="Aptos" w:eastAsia="Aptos" w:hAnsi="Aptos" w:cs="Aptos"/>
          <w:i/>
          <w:iCs/>
          <w:szCs w:val="28"/>
          <w:lang w:val="en-GB" w:eastAsia="zh-CN" w:bidi="th-TH"/>
        </w:rPr>
        <w:t>Japanese Journal of Political Science</w:t>
      </w:r>
      <w:r w:rsidRPr="00AB4BE8">
        <w:rPr>
          <w:rFonts w:ascii="Aptos" w:eastAsia="Aptos" w:hAnsi="Aptos" w:cs="Aptos"/>
          <w:szCs w:val="28"/>
          <w:lang w:val="en-GB" w:eastAsia="zh-CN" w:bidi="th-TH"/>
        </w:rPr>
        <w:t xml:space="preserve">, 24(1):30–40, </w:t>
      </w:r>
      <w:hyperlink r:id="rId24" w:history="1">
        <w:r w:rsidR="00AB4BE8" w:rsidRPr="004F7C8C">
          <w:rPr>
            <w:rStyle w:val="Hyperlink"/>
          </w:rPr>
          <w:t>https://doi.org/10.1017/S1468109922000366</w:t>
        </w:r>
      </w:hyperlink>
      <w:r w:rsidR="00AB4BE8">
        <w:t>.</w:t>
      </w:r>
    </w:p>
    <w:p w14:paraId="7402C388" w14:textId="17D9ECD2" w:rsidR="00CE6B92" w:rsidRPr="00AB4BE8" w:rsidRDefault="00CE6B92" w:rsidP="005D7D39">
      <w:pPr>
        <w:rPr>
          <w:rFonts w:ascii="Aptos" w:eastAsia="Aptos" w:hAnsi="Aptos" w:cs="Aptos"/>
          <w:szCs w:val="28"/>
          <w:lang w:val="en-GB" w:eastAsia="zh-CN" w:bidi="th-TH"/>
        </w:rPr>
      </w:pPr>
      <w:r w:rsidRPr="00AB4BE8">
        <w:rPr>
          <w:rFonts w:ascii="Aptos" w:eastAsia="Aptos" w:hAnsi="Aptos" w:cs="Aptos"/>
          <w:szCs w:val="28"/>
          <w:lang w:val="en-GB" w:eastAsia="zh-CN" w:bidi="th-TH"/>
        </w:rPr>
        <w:t xml:space="preserve">Aldrich DP and Meyer MA (2015) ‘Social capital and community resilience’, </w:t>
      </w:r>
      <w:r w:rsidRPr="00AB4BE8">
        <w:rPr>
          <w:rFonts w:ascii="Aptos" w:eastAsia="Aptos" w:hAnsi="Aptos" w:cs="Aptos"/>
          <w:i/>
          <w:iCs/>
          <w:szCs w:val="28"/>
          <w:lang w:val="en-GB" w:eastAsia="zh-CN" w:bidi="th-TH"/>
        </w:rPr>
        <w:t xml:space="preserve">American </w:t>
      </w:r>
      <w:proofErr w:type="spellStart"/>
      <w:r w:rsidRPr="00AB4BE8">
        <w:rPr>
          <w:rFonts w:ascii="Aptos" w:eastAsia="Aptos" w:hAnsi="Aptos" w:cs="Aptos"/>
          <w:i/>
          <w:iCs/>
          <w:szCs w:val="28"/>
          <w:lang w:val="en-GB" w:eastAsia="zh-CN" w:bidi="th-TH"/>
        </w:rPr>
        <w:t>Behavioral</w:t>
      </w:r>
      <w:proofErr w:type="spellEnd"/>
      <w:r w:rsidRPr="00AB4BE8">
        <w:rPr>
          <w:rFonts w:ascii="Aptos" w:eastAsia="Aptos" w:hAnsi="Aptos" w:cs="Aptos"/>
          <w:i/>
          <w:iCs/>
          <w:szCs w:val="28"/>
          <w:lang w:val="en-GB" w:eastAsia="zh-CN" w:bidi="th-TH"/>
        </w:rPr>
        <w:t xml:space="preserve"> Scientist</w:t>
      </w:r>
      <w:r w:rsidRPr="00AB4BE8">
        <w:rPr>
          <w:rFonts w:ascii="Aptos" w:eastAsia="Aptos" w:hAnsi="Aptos" w:cs="Aptos"/>
          <w:szCs w:val="28"/>
          <w:lang w:val="en-GB" w:eastAsia="zh-CN" w:bidi="th-TH"/>
        </w:rPr>
        <w:t xml:space="preserve">, 59(2): 254–269, </w:t>
      </w:r>
      <w:hyperlink r:id="rId25" w:history="1">
        <w:r w:rsidR="0059173F" w:rsidRPr="004F7C8C">
          <w:rPr>
            <w:rStyle w:val="Hyperlink"/>
          </w:rPr>
          <w:t>https://doi.org/10.1177/0002764214550299</w:t>
        </w:r>
      </w:hyperlink>
      <w:r w:rsidRPr="00AB4BE8">
        <w:rPr>
          <w:rFonts w:ascii="Aptos" w:eastAsia="Aptos" w:hAnsi="Aptos" w:cs="Aptos"/>
          <w:szCs w:val="28"/>
          <w:lang w:val="en-GB" w:eastAsia="zh-CN" w:bidi="th-TH"/>
        </w:rPr>
        <w:t>.</w:t>
      </w:r>
      <w:r w:rsidR="0059173F">
        <w:rPr>
          <w:rFonts w:ascii="Aptos" w:eastAsia="Aptos" w:hAnsi="Aptos" w:cs="Aptos"/>
          <w:szCs w:val="28"/>
          <w:lang w:val="en-GB" w:eastAsia="zh-CN" w:bidi="th-TH"/>
        </w:rPr>
        <w:t xml:space="preserve"> </w:t>
      </w:r>
      <w:r w:rsidRPr="00AB4BE8">
        <w:rPr>
          <w:rFonts w:ascii="Aptos" w:eastAsia="Aptos" w:hAnsi="Aptos" w:cs="Aptos"/>
          <w:szCs w:val="28"/>
          <w:lang w:val="en-GB" w:eastAsia="zh-CN" w:bidi="th-TH"/>
        </w:rPr>
        <w:t xml:space="preserve"> </w:t>
      </w:r>
    </w:p>
    <w:p w14:paraId="291421D5" w14:textId="3935109F" w:rsidR="00CE6B92" w:rsidRPr="003D6C02" w:rsidRDefault="00CE6B92" w:rsidP="005D7D39">
      <w:pPr>
        <w:rPr>
          <w:rFonts w:ascii="Aptos" w:eastAsia="Aptos" w:hAnsi="Aptos" w:cs="Aptos"/>
          <w:szCs w:val="28"/>
          <w:lang w:val="en-GB" w:eastAsia="zh-CN" w:bidi="th-TH"/>
        </w:rPr>
      </w:pPr>
      <w:r w:rsidRPr="003D6C02">
        <w:rPr>
          <w:rFonts w:ascii="Aptos" w:eastAsia="Aptos" w:hAnsi="Aptos" w:cs="Aptos"/>
          <w:szCs w:val="28"/>
          <w:lang w:val="en-GB" w:eastAsia="zh-CN" w:bidi="th-TH"/>
        </w:rPr>
        <w:t xml:space="preserve">ALIA (Australian Library and Information Association) (2024) </w:t>
      </w:r>
      <w:hyperlink r:id="rId26">
        <w:r w:rsidRPr="0059173F">
          <w:rPr>
            <w:rStyle w:val="Hyperlink"/>
            <w:i/>
            <w:iCs/>
          </w:rPr>
          <w:t>ALIA-APLA Submission on local government sustainability to the Standing Committee Enquiry on Regional Development, Infrastructure and Transport</w:t>
        </w:r>
      </w:hyperlink>
      <w:r w:rsidRPr="003D6C02">
        <w:rPr>
          <w:rFonts w:ascii="Aptos" w:eastAsia="Aptos" w:hAnsi="Aptos" w:cs="Aptos"/>
          <w:szCs w:val="28"/>
          <w:lang w:val="en-GB" w:eastAsia="zh-CN" w:bidi="th-TH"/>
        </w:rPr>
        <w:t xml:space="preserve">, Australian Library and Information Association, accessed 15 December 2024. </w:t>
      </w:r>
    </w:p>
    <w:p w14:paraId="0462B1BD" w14:textId="77777777"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American Alliance of Museums (30 September 2021)</w:t>
      </w:r>
      <w:hyperlink r:id="rId27">
        <w:r w:rsidRPr="00747F0B">
          <w:rPr>
            <w:rFonts w:ascii="Aptos" w:eastAsia="Aptos" w:hAnsi="Aptos" w:cs="Aptos"/>
            <w:szCs w:val="28"/>
            <w:lang w:val="en-GB" w:eastAsia="zh-CN" w:bidi="th-TH"/>
          </w:rPr>
          <w:t xml:space="preserve"> </w:t>
        </w:r>
      </w:hyperlink>
      <w:hyperlink r:id="rId28">
        <w:r w:rsidRPr="0059173F">
          <w:rPr>
            <w:rStyle w:val="Hyperlink"/>
            <w:i/>
            <w:iCs/>
          </w:rPr>
          <w:t>Museums and trust 2021</w:t>
        </w:r>
      </w:hyperlink>
      <w:r w:rsidRPr="00CE6B92">
        <w:rPr>
          <w:rFonts w:ascii="Aptos" w:eastAsia="Aptos" w:hAnsi="Aptos" w:cs="Aptos"/>
          <w:i/>
          <w:iCs/>
          <w:szCs w:val="28"/>
          <w:lang w:val="en-GB" w:eastAsia="zh-CN" w:bidi="th-TH"/>
        </w:rPr>
        <w:t xml:space="preserve">, </w:t>
      </w:r>
      <w:r w:rsidRPr="00CE6B92">
        <w:rPr>
          <w:rFonts w:ascii="Aptos" w:eastAsia="Aptos" w:hAnsi="Aptos" w:cs="Aptos"/>
          <w:szCs w:val="28"/>
          <w:lang w:val="en-GB" w:eastAsia="zh-CN" w:bidi="th-TH"/>
        </w:rPr>
        <w:t xml:space="preserve">American Alliance of Museums, accessed 5 December 2024. </w:t>
      </w:r>
    </w:p>
    <w:p w14:paraId="59494C77" w14:textId="242885FB" w:rsidR="00CE6B92" w:rsidRPr="003D6C02" w:rsidRDefault="00CE6B92" w:rsidP="005D7D39">
      <w:pPr>
        <w:rPr>
          <w:rFonts w:ascii="Aptos" w:eastAsia="Aptos" w:hAnsi="Aptos" w:cs="Aptos"/>
          <w:szCs w:val="28"/>
          <w:lang w:val="en-GB" w:eastAsia="zh-CN" w:bidi="th-TH"/>
        </w:rPr>
      </w:pPr>
      <w:r w:rsidRPr="003D6C02">
        <w:rPr>
          <w:rFonts w:ascii="Aptos" w:eastAsia="Aptos" w:hAnsi="Aptos" w:cs="Aptos"/>
          <w:szCs w:val="28"/>
          <w:lang w:val="en-GB" w:eastAsia="zh-CN" w:bidi="th-TH"/>
        </w:rPr>
        <w:t>APSC (Australian Public Service Commission) (2023)</w:t>
      </w:r>
      <w:hyperlink r:id="rId29">
        <w:r w:rsidRPr="00747F0B">
          <w:rPr>
            <w:rStyle w:val="Hyperlink"/>
            <w:i/>
            <w:iCs/>
            <w:u w:val="none"/>
          </w:rPr>
          <w:t xml:space="preserve"> </w:t>
        </w:r>
        <w:r w:rsidRPr="0059173F">
          <w:rPr>
            <w:rStyle w:val="Hyperlink"/>
            <w:i/>
            <w:iCs/>
          </w:rPr>
          <w:t>Trust in Australian public services: 2023 annual report</w:t>
        </w:r>
      </w:hyperlink>
      <w:r w:rsidRPr="003D6C02">
        <w:rPr>
          <w:rFonts w:ascii="Aptos" w:eastAsia="Aptos" w:hAnsi="Aptos" w:cs="Aptos"/>
          <w:szCs w:val="28"/>
          <w:lang w:val="en-GB" w:eastAsia="zh-CN" w:bidi="th-TH"/>
        </w:rPr>
        <w:t xml:space="preserve">, Commonwealth of Australia, Canberra. </w:t>
      </w:r>
    </w:p>
    <w:p w14:paraId="6C0762E5" w14:textId="544363D6" w:rsidR="00CE6B92" w:rsidRPr="00CE6B92" w:rsidRDefault="00CE6B92" w:rsidP="005D7D39">
      <w:pPr>
        <w:rPr>
          <w:rFonts w:ascii="Aptos" w:eastAsia="Aptos" w:hAnsi="Aptos" w:cs="Aptos"/>
          <w:szCs w:val="28"/>
          <w:lang w:val="en-GB" w:eastAsia="zh-CN" w:bidi="th-TH"/>
        </w:rPr>
      </w:pPr>
      <w:proofErr w:type="spellStart"/>
      <w:r w:rsidRPr="00CE6B92">
        <w:rPr>
          <w:rFonts w:ascii="Aptos" w:eastAsia="Aptos" w:hAnsi="Aptos" w:cs="Aptos"/>
          <w:szCs w:val="28"/>
          <w:lang w:val="en-GB" w:eastAsia="zh-CN" w:bidi="th-TH"/>
        </w:rPr>
        <w:t>Argemi</w:t>
      </w:r>
      <w:proofErr w:type="spellEnd"/>
      <w:r w:rsidRPr="00CE6B92">
        <w:rPr>
          <w:rFonts w:ascii="Aptos" w:eastAsia="Aptos" w:hAnsi="Aptos" w:cs="Aptos"/>
          <w:szCs w:val="28"/>
          <w:lang w:val="en-GB" w:eastAsia="zh-CN" w:bidi="th-TH"/>
        </w:rPr>
        <w:t xml:space="preserve"> M and Fine GA (2018) ‘Faked news: The politics of rumour in British World War II propaganda’, </w:t>
      </w:r>
      <w:r w:rsidRPr="00CE6B92">
        <w:rPr>
          <w:rFonts w:ascii="Aptos" w:eastAsia="Aptos" w:hAnsi="Aptos" w:cs="Aptos"/>
          <w:i/>
          <w:iCs/>
          <w:szCs w:val="28"/>
          <w:lang w:val="en-GB" w:eastAsia="zh-CN" w:bidi="th-TH"/>
        </w:rPr>
        <w:t>Journal of War and Culture Studies</w:t>
      </w:r>
      <w:r w:rsidRPr="00CE6B92">
        <w:rPr>
          <w:rFonts w:ascii="Aptos" w:eastAsia="Aptos" w:hAnsi="Aptos" w:cs="Aptos"/>
          <w:szCs w:val="28"/>
          <w:lang w:val="en-GB" w:eastAsia="zh-CN" w:bidi="th-TH"/>
        </w:rPr>
        <w:t xml:space="preserve">, 12(2):176–193, </w:t>
      </w:r>
      <w:hyperlink r:id="rId30" w:history="1">
        <w:r w:rsidR="0059173F" w:rsidRPr="004F7C8C">
          <w:rPr>
            <w:rStyle w:val="Hyperlink"/>
          </w:rPr>
          <w:t>https://doi.org/10.1080/17526272.2018.1495905</w:t>
        </w:r>
      </w:hyperlink>
      <w:r w:rsidRPr="00CE6B92">
        <w:rPr>
          <w:rFonts w:ascii="Aptos" w:eastAsia="Aptos" w:hAnsi="Aptos" w:cs="Aptos"/>
          <w:szCs w:val="28"/>
          <w:lang w:val="en-GB" w:eastAsia="zh-CN" w:bidi="th-TH"/>
        </w:rPr>
        <w:t>.</w:t>
      </w:r>
      <w:r w:rsidR="0059173F">
        <w:rPr>
          <w:rFonts w:ascii="Aptos" w:eastAsia="Aptos" w:hAnsi="Aptos" w:cs="Aptos"/>
          <w:szCs w:val="28"/>
          <w:lang w:val="en-GB" w:eastAsia="zh-CN" w:bidi="th-TH"/>
        </w:rPr>
        <w:t xml:space="preserve"> </w:t>
      </w:r>
    </w:p>
    <w:p w14:paraId="7269DA15" w14:textId="77777777"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Attwood BM (2009) ‘Settling histories, unsettling pasts’, in Berg M and Schaeffer B (eds) </w:t>
      </w:r>
      <w:r w:rsidRPr="00CE6B92">
        <w:rPr>
          <w:rFonts w:ascii="Aptos" w:eastAsia="Aptos" w:hAnsi="Aptos" w:cs="Aptos"/>
          <w:i/>
          <w:iCs/>
          <w:szCs w:val="28"/>
          <w:lang w:val="en-GB" w:eastAsia="zh-CN" w:bidi="th-TH"/>
        </w:rPr>
        <w:t>Historical justice in international perspective</w:t>
      </w:r>
      <w:r w:rsidRPr="00CE6B92">
        <w:rPr>
          <w:rFonts w:ascii="Aptos" w:eastAsia="Aptos" w:hAnsi="Aptos" w:cs="Aptos"/>
          <w:szCs w:val="28"/>
          <w:lang w:val="en-GB" w:eastAsia="zh-CN" w:bidi="th-TH"/>
        </w:rPr>
        <w:t xml:space="preserve">, Cambridge University Press, New York. </w:t>
      </w:r>
    </w:p>
    <w:p w14:paraId="61E0513C" w14:textId="6C63175B"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lastRenderedPageBreak/>
        <w:t xml:space="preserve">Australian Academy of the Humanities (2023) </w:t>
      </w:r>
      <w:hyperlink r:id="rId31">
        <w:r w:rsidRPr="0059173F">
          <w:rPr>
            <w:rStyle w:val="Hyperlink"/>
            <w:i/>
            <w:iCs/>
          </w:rPr>
          <w:t>The Australian Wars: New insights from a digital map</w:t>
        </w:r>
      </w:hyperlink>
      <w:r w:rsidRPr="00CE6B92">
        <w:rPr>
          <w:rFonts w:ascii="Aptos" w:eastAsia="Aptos" w:hAnsi="Aptos" w:cs="Aptos"/>
          <w:szCs w:val="28"/>
          <w:lang w:val="en-GB" w:eastAsia="zh-CN" w:bidi="th-TH"/>
        </w:rPr>
        <w:t>, Australian Academy of the Humanities, accessed 20</w:t>
      </w:r>
      <w:r w:rsidR="00EA5229">
        <w:rPr>
          <w:rFonts w:ascii="Aptos" w:eastAsia="Aptos" w:hAnsi="Aptos" w:cs="Aptos"/>
          <w:szCs w:val="28"/>
          <w:lang w:val="en-GB" w:eastAsia="zh-CN" w:bidi="th-TH"/>
        </w:rPr>
        <w:t> </w:t>
      </w:r>
      <w:r w:rsidRPr="00CE6B92">
        <w:rPr>
          <w:rFonts w:ascii="Aptos" w:eastAsia="Aptos" w:hAnsi="Aptos" w:cs="Aptos"/>
          <w:szCs w:val="28"/>
          <w:lang w:val="en-GB" w:eastAsia="zh-CN" w:bidi="th-TH"/>
        </w:rPr>
        <w:t>December</w:t>
      </w:r>
      <w:r w:rsidR="00EA5229">
        <w:rPr>
          <w:rFonts w:ascii="Aptos" w:eastAsia="Aptos" w:hAnsi="Aptos" w:cs="Aptos"/>
          <w:szCs w:val="28"/>
          <w:lang w:val="en-GB" w:eastAsia="zh-CN" w:bidi="th-TH"/>
        </w:rPr>
        <w:t> </w:t>
      </w:r>
      <w:r w:rsidRPr="00CE6B92">
        <w:rPr>
          <w:rFonts w:ascii="Aptos" w:eastAsia="Aptos" w:hAnsi="Aptos" w:cs="Aptos"/>
          <w:szCs w:val="28"/>
          <w:lang w:val="en-GB" w:eastAsia="zh-CN" w:bidi="th-TH"/>
        </w:rPr>
        <w:t xml:space="preserve">2024. </w:t>
      </w:r>
    </w:p>
    <w:p w14:paraId="75996381" w14:textId="02801918"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Australian Red Cross (2012)</w:t>
      </w:r>
      <w:r w:rsidRPr="00CE6B92">
        <w:rPr>
          <w:rFonts w:ascii="Aptos" w:eastAsia="Aptos" w:hAnsi="Aptos" w:cs="Aptos"/>
          <w:i/>
          <w:iCs/>
          <w:szCs w:val="28"/>
          <w:lang w:val="en-GB" w:eastAsia="zh-CN" w:bidi="th-TH"/>
        </w:rPr>
        <w:t xml:space="preserve"> </w:t>
      </w:r>
      <w:hyperlink r:id="rId32">
        <w:r w:rsidRPr="0059173F">
          <w:rPr>
            <w:rStyle w:val="Hyperlink"/>
            <w:i/>
            <w:iCs/>
          </w:rPr>
          <w:t>Relationships matter: The application of social capital to disaster resilience. National disaster resilience roundtable report</w:t>
        </w:r>
      </w:hyperlink>
      <w:r w:rsidR="00662D59">
        <w:rPr>
          <w:rFonts w:ascii="Aptos" w:eastAsia="Aptos" w:hAnsi="Aptos" w:cs="Aptos"/>
          <w:szCs w:val="28"/>
          <w:lang w:val="en-GB" w:eastAsia="zh-CN" w:bidi="th-TH"/>
        </w:rPr>
        <w:t xml:space="preserve"> [PDF]</w:t>
      </w:r>
      <w:r w:rsidRPr="00CE6B92">
        <w:rPr>
          <w:rFonts w:ascii="Aptos" w:eastAsia="Aptos" w:hAnsi="Aptos" w:cs="Aptos"/>
          <w:szCs w:val="28"/>
          <w:lang w:val="en-GB" w:eastAsia="zh-CN" w:bidi="th-TH"/>
        </w:rPr>
        <w:t xml:space="preserve">, Australian Red Cross, Melbourne. </w:t>
      </w:r>
    </w:p>
    <w:p w14:paraId="188B3D9B" w14:textId="6CE1C9B2" w:rsidR="00CE6B92" w:rsidRPr="00CE6B92" w:rsidRDefault="00CE6B92" w:rsidP="005D7D39">
      <w:pPr>
        <w:shd w:val="clear" w:color="auto" w:fill="FFFFFF"/>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Browne B (2023) </w:t>
      </w:r>
      <w:hyperlink r:id="rId33">
        <w:r w:rsidRPr="00662D59">
          <w:rPr>
            <w:rStyle w:val="Hyperlink"/>
            <w:i/>
            <w:iCs/>
          </w:rPr>
          <w:t>Polling – Misinformation and the referendum</w:t>
        </w:r>
      </w:hyperlink>
      <w:r w:rsidR="00662D59">
        <w:rPr>
          <w:rFonts w:ascii="Aptos" w:eastAsia="Aptos" w:hAnsi="Aptos" w:cs="Aptos"/>
          <w:szCs w:val="28"/>
          <w:lang w:val="en-GB" w:eastAsia="zh-CN" w:bidi="th-TH"/>
        </w:rPr>
        <w:t xml:space="preserve"> [PDF]</w:t>
      </w:r>
      <w:r w:rsidRPr="00CE6B92">
        <w:rPr>
          <w:rFonts w:ascii="Aptos" w:eastAsia="Aptos" w:hAnsi="Aptos" w:cs="Aptos"/>
          <w:szCs w:val="28"/>
          <w:lang w:val="en-GB" w:eastAsia="zh-CN" w:bidi="th-TH"/>
        </w:rPr>
        <w:t>, The Australia Institute, Canberra.</w:t>
      </w:r>
    </w:p>
    <w:p w14:paraId="30C732F5" w14:textId="62FC3DE2"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Barrett J and Cocq C (2019) ‘Indigenous storytelling and language learning: Digital media as a vehicle for cultural transmission and language acquisition’, in Barrett J and Cocq C (eds) </w:t>
      </w:r>
      <w:r w:rsidRPr="00CE6B92">
        <w:rPr>
          <w:rFonts w:ascii="Aptos" w:eastAsia="Aptos" w:hAnsi="Aptos" w:cs="Aptos"/>
          <w:i/>
          <w:iCs/>
          <w:szCs w:val="28"/>
          <w:lang w:val="en-GB" w:eastAsia="zh-CN" w:bidi="th-TH"/>
        </w:rPr>
        <w:t>Perspectives on Indigenous writing and literacies,</w:t>
      </w:r>
      <w:hyperlink r:id="rId34">
        <w:r w:rsidRPr="00CE6B92">
          <w:rPr>
            <w:rFonts w:ascii="Aptos" w:eastAsia="Aptos" w:hAnsi="Aptos" w:cs="Aptos"/>
            <w:szCs w:val="28"/>
            <w:u w:val="single"/>
            <w:lang w:val="en-GB" w:eastAsia="zh-CN" w:bidi="th-TH"/>
          </w:rPr>
          <w:t xml:space="preserve"> </w:t>
        </w:r>
      </w:hyperlink>
      <w:r w:rsidR="00662D59" w:rsidRPr="00662D59">
        <w:t xml:space="preserve"> </w:t>
      </w:r>
      <w:hyperlink r:id="rId35" w:history="1">
        <w:r w:rsidR="00662D59" w:rsidRPr="004F7C8C">
          <w:rPr>
            <w:rStyle w:val="Hyperlink"/>
          </w:rPr>
          <w:t>https://doi.org/10.1163/9789004298507_006</w:t>
        </w:r>
      </w:hyperlink>
      <w:r w:rsidRPr="00662D59">
        <w:rPr>
          <w:rFonts w:ascii="Aptos" w:eastAsia="Aptos" w:hAnsi="Aptos" w:cs="Aptos"/>
          <w:szCs w:val="28"/>
          <w:lang w:val="en-GB" w:eastAsia="zh-CN" w:bidi="th-TH"/>
        </w:rPr>
        <w:t>.</w:t>
      </w:r>
      <w:r w:rsidR="00662D59">
        <w:rPr>
          <w:rFonts w:ascii="Aptos" w:eastAsia="Aptos" w:hAnsi="Aptos" w:cs="Aptos"/>
          <w:szCs w:val="28"/>
          <w:u w:val="single"/>
          <w:lang w:val="en-GB" w:eastAsia="zh-CN" w:bidi="th-TH"/>
        </w:rPr>
        <w:t xml:space="preserve"> </w:t>
      </w:r>
      <w:r w:rsidRPr="00CE6B92">
        <w:rPr>
          <w:rFonts w:ascii="Aptos" w:eastAsia="Aptos" w:hAnsi="Aptos" w:cs="Aptos"/>
          <w:szCs w:val="28"/>
          <w:lang w:val="en-GB" w:eastAsia="zh-CN" w:bidi="th-TH"/>
        </w:rPr>
        <w:t xml:space="preserve"> </w:t>
      </w:r>
      <w:r w:rsidR="00662D59">
        <w:rPr>
          <w:rFonts w:ascii="Aptos" w:eastAsia="Aptos" w:hAnsi="Aptos" w:cs="Aptos"/>
          <w:szCs w:val="28"/>
          <w:lang w:val="en-GB" w:eastAsia="zh-CN" w:bidi="th-TH"/>
        </w:rPr>
        <w:t xml:space="preserve"> </w:t>
      </w:r>
    </w:p>
    <w:p w14:paraId="64FABE10" w14:textId="77777777"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Barrett M and Zani B (2014) </w:t>
      </w:r>
      <w:r w:rsidRPr="00CE6B92">
        <w:rPr>
          <w:rFonts w:ascii="Aptos" w:eastAsia="Aptos" w:hAnsi="Aptos" w:cs="Aptos"/>
          <w:i/>
          <w:iCs/>
          <w:szCs w:val="28"/>
          <w:lang w:val="en-GB" w:eastAsia="zh-CN" w:bidi="th-TH"/>
        </w:rPr>
        <w:t>Political and civic engagement: Theoretical understandings, evidence and policies</w:t>
      </w:r>
      <w:r w:rsidRPr="00CE6B92">
        <w:rPr>
          <w:rFonts w:ascii="Aptos" w:eastAsia="Aptos" w:hAnsi="Aptos" w:cs="Aptos"/>
          <w:szCs w:val="28"/>
          <w:lang w:val="en-GB" w:eastAsia="zh-CN" w:bidi="th-TH"/>
        </w:rPr>
        <w:t xml:space="preserve">, Routledge, London. </w:t>
      </w:r>
    </w:p>
    <w:p w14:paraId="025A5C95" w14:textId="4830D875"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Barrowcliffe R (2021) ‘Closing the narrative gap: social media as a tool to reconcile institutional archival narratives with Indigenous counter-narratives’, </w:t>
      </w:r>
      <w:r w:rsidRPr="00CE6B92">
        <w:rPr>
          <w:rFonts w:ascii="Aptos" w:eastAsia="Aptos" w:hAnsi="Aptos" w:cs="Aptos"/>
          <w:i/>
          <w:iCs/>
          <w:szCs w:val="28"/>
          <w:lang w:val="en-GB" w:eastAsia="zh-CN" w:bidi="th-TH"/>
        </w:rPr>
        <w:t>Archives and Manuscripts</w:t>
      </w:r>
      <w:r w:rsidRPr="00CE6B92">
        <w:rPr>
          <w:rFonts w:ascii="Aptos" w:eastAsia="Aptos" w:hAnsi="Aptos" w:cs="Aptos"/>
          <w:szCs w:val="28"/>
          <w:lang w:val="en-GB" w:eastAsia="zh-CN" w:bidi="th-TH"/>
        </w:rPr>
        <w:t xml:space="preserve">, 49(3):151–166, </w:t>
      </w:r>
      <w:hyperlink r:id="rId36" w:history="1">
        <w:r w:rsidR="00662D59" w:rsidRPr="004F7C8C">
          <w:rPr>
            <w:rStyle w:val="Hyperlink"/>
          </w:rPr>
          <w:t>https://doi.org/10.1080/01576895.2021.1883074</w:t>
        </w:r>
      </w:hyperlink>
      <w:r w:rsidRPr="00CE6B92">
        <w:rPr>
          <w:rFonts w:ascii="Aptos" w:eastAsia="Aptos" w:hAnsi="Aptos" w:cs="Aptos"/>
          <w:szCs w:val="28"/>
          <w:lang w:val="en-GB" w:eastAsia="zh-CN" w:bidi="th-TH"/>
        </w:rPr>
        <w:t>.</w:t>
      </w:r>
      <w:r w:rsidR="00662D59">
        <w:rPr>
          <w:rFonts w:ascii="Aptos" w:eastAsia="Aptos" w:hAnsi="Aptos" w:cs="Aptos"/>
          <w:szCs w:val="28"/>
          <w:lang w:val="en-GB" w:eastAsia="zh-CN" w:bidi="th-TH"/>
        </w:rPr>
        <w:t xml:space="preserve"> </w:t>
      </w:r>
      <w:r w:rsidRPr="00CE6B92">
        <w:rPr>
          <w:rFonts w:ascii="Aptos" w:eastAsia="Aptos" w:hAnsi="Aptos" w:cs="Aptos"/>
          <w:szCs w:val="28"/>
          <w:lang w:val="en-GB" w:eastAsia="zh-CN" w:bidi="th-TH"/>
        </w:rPr>
        <w:t xml:space="preserve"> </w:t>
      </w:r>
    </w:p>
    <w:p w14:paraId="5F9E81C4" w14:textId="0F42AA9F"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Benjamin LM and Doan DRH (2020) ‘Evaluation and civil society’, in List RA, </w:t>
      </w:r>
      <w:proofErr w:type="spellStart"/>
      <w:r w:rsidRPr="00CE6B92">
        <w:rPr>
          <w:rFonts w:ascii="Aptos" w:eastAsia="Aptos" w:hAnsi="Aptos" w:cs="Aptos"/>
          <w:szCs w:val="28"/>
          <w:lang w:val="en-GB" w:eastAsia="zh-CN" w:bidi="th-TH"/>
        </w:rPr>
        <w:t>Anheiser</w:t>
      </w:r>
      <w:proofErr w:type="spellEnd"/>
      <w:r w:rsidRPr="00CE6B92">
        <w:rPr>
          <w:rFonts w:ascii="Aptos" w:eastAsia="Aptos" w:hAnsi="Aptos" w:cs="Aptos"/>
          <w:szCs w:val="28"/>
          <w:lang w:val="en-GB" w:eastAsia="zh-CN" w:bidi="th-TH"/>
        </w:rPr>
        <w:t xml:space="preserve"> HK and S Toepler (eds) </w:t>
      </w:r>
      <w:r w:rsidRPr="00CE6B92">
        <w:rPr>
          <w:rFonts w:ascii="Aptos" w:eastAsia="Aptos" w:hAnsi="Aptos" w:cs="Aptos"/>
          <w:i/>
          <w:iCs/>
          <w:szCs w:val="28"/>
          <w:lang w:val="en-GB" w:eastAsia="zh-CN" w:bidi="th-TH"/>
        </w:rPr>
        <w:t>International encyclopaedia of civil society,</w:t>
      </w:r>
      <w:r w:rsidRPr="00CE6B92">
        <w:rPr>
          <w:rFonts w:ascii="Aptos" w:eastAsia="Aptos" w:hAnsi="Aptos" w:cs="Aptos"/>
          <w:szCs w:val="28"/>
          <w:lang w:val="en-GB" w:eastAsia="zh-CN" w:bidi="th-TH"/>
        </w:rPr>
        <w:t xml:space="preserve"> Springer International Publishing, </w:t>
      </w:r>
      <w:hyperlink r:id="rId37" w:history="1">
        <w:r w:rsidR="00662D59" w:rsidRPr="004F7C8C">
          <w:rPr>
            <w:rStyle w:val="Hyperlink"/>
          </w:rPr>
          <w:t>https://doi.org/10.1007/978-3-319-99675-2_59-1</w:t>
        </w:r>
      </w:hyperlink>
      <w:r w:rsidRPr="00CE6B92">
        <w:rPr>
          <w:rFonts w:ascii="Aptos" w:eastAsia="Aptos" w:hAnsi="Aptos" w:cs="Aptos"/>
          <w:szCs w:val="28"/>
          <w:lang w:val="en-GB" w:eastAsia="zh-CN" w:bidi="th-TH"/>
        </w:rPr>
        <w:t>.</w:t>
      </w:r>
      <w:r w:rsidR="00662D59">
        <w:rPr>
          <w:rFonts w:ascii="Aptos" w:eastAsia="Aptos" w:hAnsi="Aptos" w:cs="Aptos"/>
          <w:szCs w:val="28"/>
          <w:lang w:val="en-GB" w:eastAsia="zh-CN" w:bidi="th-TH"/>
        </w:rPr>
        <w:t xml:space="preserve"> </w:t>
      </w:r>
      <w:r w:rsidRPr="00CE6B92">
        <w:rPr>
          <w:rFonts w:ascii="Aptos" w:eastAsia="Aptos" w:hAnsi="Aptos" w:cs="Aptos"/>
          <w:szCs w:val="28"/>
          <w:lang w:val="en-GB" w:eastAsia="zh-CN" w:bidi="th-TH"/>
        </w:rPr>
        <w:t xml:space="preserve"> </w:t>
      </w:r>
    </w:p>
    <w:p w14:paraId="5EE51A8A" w14:textId="77777777"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Bennett T, Stevenson D, Myers F and Winikoff T (eds) (2020) </w:t>
      </w:r>
      <w:r w:rsidRPr="00CE6B92">
        <w:rPr>
          <w:rFonts w:ascii="Aptos" w:eastAsia="Aptos" w:hAnsi="Aptos" w:cs="Aptos"/>
          <w:i/>
          <w:iCs/>
          <w:szCs w:val="28"/>
          <w:lang w:val="en-GB" w:eastAsia="zh-CN" w:bidi="th-TH"/>
        </w:rPr>
        <w:t>The Australian art field: Practices, policies, institutions</w:t>
      </w:r>
      <w:r w:rsidRPr="00CE6B92">
        <w:rPr>
          <w:rFonts w:ascii="Aptos" w:eastAsia="Aptos" w:hAnsi="Aptos" w:cs="Aptos"/>
          <w:szCs w:val="28"/>
          <w:lang w:val="en-GB" w:eastAsia="zh-CN" w:bidi="th-TH"/>
        </w:rPr>
        <w:t xml:space="preserve">, Routledge, London. </w:t>
      </w:r>
    </w:p>
    <w:p w14:paraId="163804EA" w14:textId="77777777"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Biddle N and Gray M (2023)</w:t>
      </w:r>
      <w:hyperlink r:id="rId38">
        <w:r w:rsidRPr="00CE6B92">
          <w:rPr>
            <w:rFonts w:ascii="Aptos" w:eastAsia="Aptos" w:hAnsi="Aptos" w:cs="Aptos"/>
            <w:szCs w:val="28"/>
            <w:u w:val="single"/>
            <w:lang w:val="en-GB" w:eastAsia="zh-CN" w:bidi="th-TH"/>
          </w:rPr>
          <w:t xml:space="preserve"> </w:t>
        </w:r>
      </w:hyperlink>
      <w:hyperlink r:id="rId39">
        <w:r w:rsidRPr="00662D59">
          <w:rPr>
            <w:rStyle w:val="Hyperlink"/>
            <w:i/>
            <w:iCs/>
          </w:rPr>
          <w:t>Ongoing trends in volunteering in Australia</w:t>
        </w:r>
      </w:hyperlink>
      <w:r w:rsidRPr="00CE6B92">
        <w:rPr>
          <w:rFonts w:ascii="Aptos" w:eastAsia="Aptos" w:hAnsi="Aptos" w:cs="Aptos"/>
          <w:szCs w:val="28"/>
          <w:lang w:val="en-GB" w:eastAsia="zh-CN" w:bidi="th-TH"/>
        </w:rPr>
        <w:t xml:space="preserve">, Australian National University Centre for Social Research and Methods, Canberra. </w:t>
      </w:r>
    </w:p>
    <w:p w14:paraId="7E21443E" w14:textId="302846EB" w:rsidR="00CE6B92" w:rsidRPr="00CE6B92" w:rsidRDefault="00CE6B92" w:rsidP="005D7D39">
      <w:pPr>
        <w:rPr>
          <w:rFonts w:ascii="Aptos" w:eastAsia="Aptos" w:hAnsi="Aptos" w:cs="Aptos"/>
          <w:szCs w:val="28"/>
          <w:lang w:val="en-GB" w:eastAsia="zh-CN" w:bidi="th-TH"/>
        </w:rPr>
      </w:pPr>
      <w:r w:rsidRPr="00A5270A">
        <w:rPr>
          <w:rFonts w:ascii="Aptos" w:eastAsia="Aptos" w:hAnsi="Aptos" w:cs="Aptos"/>
          <w:szCs w:val="28"/>
          <w:lang w:val="en-GB" w:eastAsia="zh-CN" w:bidi="th-TH"/>
        </w:rPr>
        <w:t xml:space="preserve">Birch T (14 January 2021) </w:t>
      </w:r>
      <w:hyperlink r:id="rId40">
        <w:r w:rsidRPr="00BB78C4">
          <w:rPr>
            <w:rStyle w:val="Hyperlink"/>
            <w:i/>
            <w:iCs/>
          </w:rPr>
          <w:t>Do monuments hold any value?</w:t>
        </w:r>
      </w:hyperlink>
      <w:r w:rsidR="00BB78C4">
        <w:t>,</w:t>
      </w:r>
      <w:r w:rsidRPr="00A5270A">
        <w:rPr>
          <w:rFonts w:ascii="Aptos" w:eastAsia="Aptos" w:hAnsi="Aptos" w:cs="Aptos"/>
          <w:szCs w:val="28"/>
          <w:lang w:val="en-GB" w:eastAsia="zh-CN" w:bidi="th-TH"/>
        </w:rPr>
        <w:t xml:space="preserve"> </w:t>
      </w:r>
      <w:proofErr w:type="spellStart"/>
      <w:r w:rsidRPr="00BB78C4">
        <w:rPr>
          <w:rFonts w:ascii="Aptos" w:eastAsia="Aptos" w:hAnsi="Aptos" w:cs="Aptos"/>
          <w:szCs w:val="28"/>
          <w:lang w:val="en-GB" w:eastAsia="zh-CN" w:bidi="th-TH"/>
        </w:rPr>
        <w:t>IndigenousX</w:t>
      </w:r>
      <w:proofErr w:type="spellEnd"/>
      <w:r w:rsidR="00BB78C4" w:rsidRPr="00BB78C4">
        <w:rPr>
          <w:rFonts w:ascii="Aptos" w:eastAsia="Aptos" w:hAnsi="Aptos" w:cs="Aptos"/>
          <w:szCs w:val="28"/>
          <w:lang w:val="en-GB" w:eastAsia="zh-CN" w:bidi="th-TH"/>
        </w:rPr>
        <w:t xml:space="preserve"> website</w:t>
      </w:r>
      <w:r w:rsidRPr="00A5270A">
        <w:rPr>
          <w:rFonts w:ascii="Aptos" w:eastAsia="Aptos" w:hAnsi="Aptos" w:cs="Aptos"/>
          <w:szCs w:val="28"/>
          <w:lang w:val="en-GB" w:eastAsia="zh-CN" w:bidi="th-TH"/>
        </w:rPr>
        <w:t>, accessed</w:t>
      </w:r>
      <w:r w:rsidRPr="00CE6B92">
        <w:rPr>
          <w:rFonts w:ascii="Aptos" w:eastAsia="Aptos" w:hAnsi="Aptos" w:cs="Aptos"/>
          <w:szCs w:val="28"/>
          <w:lang w:val="en-GB" w:eastAsia="zh-CN" w:bidi="th-TH"/>
        </w:rPr>
        <w:t xml:space="preserve"> 19 December 2024. </w:t>
      </w:r>
    </w:p>
    <w:p w14:paraId="5D440A6A" w14:textId="15EC1E20"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Blatt D, Maloney EK, Pawelski JO and Cotter KN (2024) </w:t>
      </w:r>
      <w:hyperlink r:id="rId41">
        <w:r w:rsidRPr="009074AA">
          <w:rPr>
            <w:rStyle w:val="Hyperlink"/>
            <w:i/>
            <w:iCs/>
          </w:rPr>
          <w:t>Libraries and well-being: A case study from the New York public library</w:t>
        </w:r>
      </w:hyperlink>
      <w:r w:rsidR="009074AA">
        <w:rPr>
          <w:rFonts w:ascii="Aptos" w:eastAsia="Aptos" w:hAnsi="Aptos" w:cs="Aptos"/>
          <w:szCs w:val="28"/>
          <w:lang w:val="en-GB" w:eastAsia="zh-CN" w:bidi="th-TH"/>
        </w:rPr>
        <w:t xml:space="preserve"> [PDF]</w:t>
      </w:r>
      <w:r w:rsidRPr="00CE6B92">
        <w:rPr>
          <w:rFonts w:ascii="Aptos" w:eastAsia="Aptos" w:hAnsi="Aptos" w:cs="Aptos"/>
          <w:szCs w:val="28"/>
          <w:lang w:val="en-GB" w:eastAsia="zh-CN" w:bidi="th-TH"/>
        </w:rPr>
        <w:t>, New York Public Library, accessed 15</w:t>
      </w:r>
      <w:r w:rsidR="00EA5229">
        <w:rPr>
          <w:rFonts w:ascii="Aptos" w:eastAsia="Aptos" w:hAnsi="Aptos" w:cs="Aptos"/>
          <w:szCs w:val="28"/>
          <w:lang w:val="en-GB" w:eastAsia="zh-CN" w:bidi="th-TH"/>
        </w:rPr>
        <w:t> </w:t>
      </w:r>
      <w:r w:rsidRPr="00CE6B92">
        <w:rPr>
          <w:rFonts w:ascii="Aptos" w:eastAsia="Aptos" w:hAnsi="Aptos" w:cs="Aptos"/>
          <w:szCs w:val="28"/>
          <w:lang w:val="en-GB" w:eastAsia="zh-CN" w:bidi="th-TH"/>
        </w:rPr>
        <w:t xml:space="preserve">December 2024. </w:t>
      </w:r>
    </w:p>
    <w:p w14:paraId="16506325" w14:textId="77777777"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Bradshaw S and </w:t>
      </w:r>
      <w:proofErr w:type="spellStart"/>
      <w:r w:rsidRPr="00CE6B92">
        <w:rPr>
          <w:rFonts w:ascii="Aptos" w:eastAsia="Aptos" w:hAnsi="Aptos" w:cs="Aptos"/>
          <w:szCs w:val="28"/>
          <w:lang w:val="en-GB" w:eastAsia="zh-CN" w:bidi="th-TH"/>
        </w:rPr>
        <w:t>Neudert</w:t>
      </w:r>
      <w:proofErr w:type="spellEnd"/>
      <w:r w:rsidRPr="00CE6B92">
        <w:rPr>
          <w:rFonts w:ascii="Aptos" w:eastAsia="Aptos" w:hAnsi="Aptos" w:cs="Aptos"/>
          <w:szCs w:val="28"/>
          <w:lang w:val="en-GB" w:eastAsia="zh-CN" w:bidi="th-TH"/>
        </w:rPr>
        <w:t xml:space="preserve"> LM (2021) </w:t>
      </w:r>
      <w:hyperlink r:id="rId42">
        <w:r w:rsidRPr="009074AA">
          <w:rPr>
            <w:rStyle w:val="Hyperlink"/>
            <w:i/>
            <w:iCs/>
          </w:rPr>
          <w:t>The road ahead: Mapping civil society responses to disinformation</w:t>
        </w:r>
      </w:hyperlink>
      <w:r w:rsidRPr="00CE6B92">
        <w:rPr>
          <w:rFonts w:ascii="Aptos" w:eastAsia="Aptos" w:hAnsi="Aptos" w:cs="Aptos"/>
          <w:szCs w:val="28"/>
          <w:lang w:val="en-GB" w:eastAsia="zh-CN" w:bidi="th-TH"/>
        </w:rPr>
        <w:t xml:space="preserve">, National Endowment for Democracy, Washington. </w:t>
      </w:r>
    </w:p>
    <w:p w14:paraId="24F845BB" w14:textId="5DE8470B" w:rsidR="00CE6B92" w:rsidRPr="00CE6B92" w:rsidRDefault="00CE6B92" w:rsidP="005D7D39">
      <w:pPr>
        <w:rPr>
          <w:rFonts w:ascii="Aptos" w:eastAsia="Aptos" w:hAnsi="Aptos" w:cs="Aptos"/>
          <w:szCs w:val="28"/>
          <w:lang w:val="en-GB" w:eastAsia="zh-CN" w:bidi="th-TH"/>
        </w:rPr>
      </w:pPr>
      <w:proofErr w:type="spellStart"/>
      <w:r w:rsidRPr="00CE6B92">
        <w:rPr>
          <w:rFonts w:ascii="Aptos" w:eastAsia="Aptos" w:hAnsi="Aptos" w:cs="Aptos"/>
          <w:szCs w:val="28"/>
          <w:lang w:val="en-GB" w:eastAsia="zh-CN" w:bidi="th-TH"/>
        </w:rPr>
        <w:t>BrodeFrank</w:t>
      </w:r>
      <w:proofErr w:type="spellEnd"/>
      <w:r w:rsidRPr="00CE6B92">
        <w:rPr>
          <w:rFonts w:ascii="Aptos" w:eastAsia="Aptos" w:hAnsi="Aptos" w:cs="Aptos"/>
          <w:szCs w:val="28"/>
          <w:lang w:val="en-GB" w:eastAsia="zh-CN" w:bidi="th-TH"/>
        </w:rPr>
        <w:t xml:space="preserve"> J (2022) ‘Crowdsourcing metadata in museums: Expanding descriptions, access, transparency, and experience’ in Lew Fry E and Canning E (eds), </w:t>
      </w:r>
      <w:r w:rsidRPr="00CE6B92">
        <w:rPr>
          <w:rFonts w:ascii="Aptos" w:eastAsia="Aptos" w:hAnsi="Aptos" w:cs="Aptos"/>
          <w:i/>
          <w:iCs/>
          <w:szCs w:val="28"/>
          <w:lang w:val="en-GB" w:eastAsia="zh-CN" w:bidi="th-TH"/>
        </w:rPr>
        <w:t>Perspectives on data</w:t>
      </w:r>
      <w:r w:rsidRPr="00CE6B92">
        <w:rPr>
          <w:rFonts w:ascii="Aptos" w:eastAsia="Aptos" w:hAnsi="Aptos" w:cs="Aptos"/>
          <w:szCs w:val="28"/>
          <w:lang w:val="en-GB" w:eastAsia="zh-CN" w:bidi="th-TH"/>
        </w:rPr>
        <w:t>,</w:t>
      </w:r>
      <w:r w:rsidR="009074AA" w:rsidRPr="009074AA">
        <w:t xml:space="preserve"> </w:t>
      </w:r>
      <w:hyperlink r:id="rId43" w:history="1">
        <w:r w:rsidR="009074AA" w:rsidRPr="004F7C8C">
          <w:rPr>
            <w:rStyle w:val="Hyperlink"/>
          </w:rPr>
          <w:t>https://doi.org/10.53269/9780865593152/08</w:t>
        </w:r>
      </w:hyperlink>
      <w:r w:rsidRPr="00CE6B92">
        <w:rPr>
          <w:rFonts w:ascii="Aptos" w:eastAsia="Aptos" w:hAnsi="Aptos" w:cs="Aptos"/>
          <w:szCs w:val="28"/>
          <w:lang w:val="en-GB" w:eastAsia="zh-CN" w:bidi="th-TH"/>
        </w:rPr>
        <w:t>.</w:t>
      </w:r>
      <w:r w:rsidR="009074AA">
        <w:rPr>
          <w:rFonts w:ascii="Aptos" w:eastAsia="Aptos" w:hAnsi="Aptos" w:cs="Aptos"/>
          <w:szCs w:val="28"/>
          <w:lang w:val="en-GB" w:eastAsia="zh-CN" w:bidi="th-TH"/>
        </w:rPr>
        <w:t xml:space="preserve"> </w:t>
      </w:r>
    </w:p>
    <w:p w14:paraId="6397CEC1" w14:textId="77777777" w:rsidR="00CE6B92" w:rsidRPr="00CE6B92" w:rsidRDefault="00CE6B92" w:rsidP="005D7D39">
      <w:pPr>
        <w:shd w:val="clear" w:color="auto" w:fill="FFFFFF"/>
        <w:rPr>
          <w:rFonts w:ascii="Aptos" w:eastAsia="Aptos" w:hAnsi="Aptos" w:cs="Aptos"/>
          <w:szCs w:val="28"/>
          <w:lang w:val="en-GB" w:eastAsia="zh-CN" w:bidi="th-TH"/>
        </w:rPr>
      </w:pPr>
      <w:r w:rsidRPr="00CE6B92">
        <w:rPr>
          <w:rFonts w:ascii="Aptos" w:eastAsia="Aptos" w:hAnsi="Aptos" w:cs="Aptos"/>
          <w:szCs w:val="28"/>
          <w:lang w:val="en-GB" w:eastAsia="zh-CN" w:bidi="th-TH"/>
        </w:rPr>
        <w:t>Brook O, O'Brien D and Taylor M (2020</w:t>
      </w:r>
      <w:r w:rsidRPr="00CE6B92">
        <w:rPr>
          <w:rFonts w:ascii="Aptos" w:eastAsia="Aptos" w:hAnsi="Aptos" w:cs="Aptos"/>
          <w:i/>
          <w:iCs/>
          <w:szCs w:val="28"/>
          <w:lang w:val="en-GB" w:eastAsia="zh-CN" w:bidi="th-TH"/>
        </w:rPr>
        <w:t>) Culture is bad for you,</w:t>
      </w:r>
      <w:r w:rsidRPr="00CE6B92">
        <w:rPr>
          <w:rFonts w:ascii="Aptos" w:eastAsia="Aptos" w:hAnsi="Aptos" w:cs="Aptos"/>
          <w:szCs w:val="28"/>
          <w:lang w:val="en-GB" w:eastAsia="zh-CN" w:bidi="th-TH"/>
        </w:rPr>
        <w:t xml:space="preserve"> Manchester University Press, Manchester.</w:t>
      </w:r>
    </w:p>
    <w:p w14:paraId="51E3A851" w14:textId="76CF40DF" w:rsidR="00CE6B92" w:rsidRPr="00CE6B92" w:rsidRDefault="00CE6B92" w:rsidP="005D7D39">
      <w:pPr>
        <w:shd w:val="clear" w:color="auto" w:fill="FFFFFF"/>
        <w:rPr>
          <w:rFonts w:ascii="Aptos" w:eastAsia="Aptos" w:hAnsi="Aptos" w:cs="Aptos"/>
          <w:szCs w:val="28"/>
          <w:lang w:val="en-GB" w:eastAsia="zh-CN" w:bidi="th-TH"/>
        </w:rPr>
      </w:pPr>
      <w:proofErr w:type="spellStart"/>
      <w:r w:rsidRPr="00CE6B92">
        <w:rPr>
          <w:rFonts w:ascii="Aptos" w:eastAsia="Aptos" w:hAnsi="Aptos" w:cs="Aptos"/>
          <w:szCs w:val="28"/>
          <w:lang w:val="en-GB" w:eastAsia="zh-CN" w:bidi="th-TH"/>
        </w:rPr>
        <w:t>Brownett</w:t>
      </w:r>
      <w:proofErr w:type="spellEnd"/>
      <w:r w:rsidRPr="00CE6B92">
        <w:rPr>
          <w:rFonts w:ascii="Aptos" w:eastAsia="Aptos" w:hAnsi="Aptos" w:cs="Aptos"/>
          <w:szCs w:val="28"/>
          <w:lang w:val="en-GB" w:eastAsia="zh-CN" w:bidi="th-TH"/>
        </w:rPr>
        <w:t xml:space="preserve"> T (2018) ‘Social capital and participation: The role of community arts festivals for generating well-being', </w:t>
      </w:r>
      <w:r w:rsidRPr="00CE6B92">
        <w:rPr>
          <w:rFonts w:ascii="Aptos" w:eastAsia="Aptos" w:hAnsi="Aptos" w:cs="Aptos"/>
          <w:i/>
          <w:iCs/>
          <w:szCs w:val="28"/>
          <w:lang w:val="en-GB" w:eastAsia="zh-CN" w:bidi="th-TH"/>
        </w:rPr>
        <w:t>Journal of Applied Arts &amp; Health,</w:t>
      </w:r>
      <w:r w:rsidRPr="00CE6B92">
        <w:rPr>
          <w:rFonts w:ascii="Aptos" w:eastAsia="Aptos" w:hAnsi="Aptos" w:cs="Aptos"/>
          <w:szCs w:val="28"/>
          <w:lang w:val="en-GB" w:eastAsia="zh-CN" w:bidi="th-TH"/>
        </w:rPr>
        <w:t xml:space="preserve"> 9(1), 71–84, </w:t>
      </w:r>
      <w:hyperlink r:id="rId44" w:history="1">
        <w:r w:rsidR="00755FC4" w:rsidRPr="004F7C8C">
          <w:rPr>
            <w:rStyle w:val="Hyperlink"/>
            <w:rFonts w:ascii="Aptos" w:eastAsia="Aptos" w:hAnsi="Aptos" w:cs="Aptos"/>
            <w:szCs w:val="28"/>
            <w:lang w:val="en-GB" w:eastAsia="zh-CN" w:bidi="th-TH"/>
          </w:rPr>
          <w:t>https://doi.org/10.1386/jaah.9.1.71_1</w:t>
        </w:r>
      </w:hyperlink>
      <w:r w:rsidR="00755FC4">
        <w:rPr>
          <w:rFonts w:ascii="Aptos" w:eastAsia="Aptos" w:hAnsi="Aptos" w:cs="Aptos"/>
          <w:szCs w:val="28"/>
          <w:u w:val="single"/>
          <w:lang w:val="en-GB" w:eastAsia="zh-CN" w:bidi="th-TH"/>
        </w:rPr>
        <w:t xml:space="preserve">. </w:t>
      </w:r>
      <w:r w:rsidRPr="00CE6B92">
        <w:rPr>
          <w:rFonts w:ascii="Aptos" w:eastAsia="Aptos" w:hAnsi="Aptos" w:cs="Aptos"/>
          <w:szCs w:val="28"/>
          <w:lang w:val="en-GB" w:eastAsia="zh-CN" w:bidi="th-TH"/>
        </w:rPr>
        <w:t xml:space="preserve"> </w:t>
      </w:r>
    </w:p>
    <w:p w14:paraId="25BCFBFA" w14:textId="77777777"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Cameron F and Neilson B (eds) (2015) </w:t>
      </w:r>
      <w:r w:rsidRPr="00CE6B92">
        <w:rPr>
          <w:rFonts w:ascii="Aptos" w:eastAsia="Aptos" w:hAnsi="Aptos" w:cs="Aptos"/>
          <w:i/>
          <w:iCs/>
          <w:szCs w:val="28"/>
          <w:lang w:val="en-GB" w:eastAsia="zh-CN" w:bidi="th-TH"/>
        </w:rPr>
        <w:t>Climate Change and Museum Futures</w:t>
      </w:r>
      <w:r w:rsidRPr="00CE6B92">
        <w:rPr>
          <w:rFonts w:ascii="Aptos" w:eastAsia="Aptos" w:hAnsi="Aptos" w:cs="Aptos"/>
          <w:szCs w:val="28"/>
          <w:lang w:val="en-GB" w:eastAsia="zh-CN" w:bidi="th-TH"/>
        </w:rPr>
        <w:t xml:space="preserve">, Routledge, London. </w:t>
      </w:r>
    </w:p>
    <w:p w14:paraId="5E1B6369" w14:textId="77777777"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lastRenderedPageBreak/>
        <w:t xml:space="preserve">Carlson B and Farrelly T (2023) </w:t>
      </w:r>
      <w:r w:rsidRPr="00CE6B92">
        <w:rPr>
          <w:rFonts w:ascii="Aptos" w:eastAsia="Aptos" w:hAnsi="Aptos" w:cs="Aptos"/>
          <w:i/>
          <w:iCs/>
          <w:szCs w:val="28"/>
          <w:lang w:val="en-GB" w:eastAsia="zh-CN" w:bidi="th-TH"/>
        </w:rPr>
        <w:t>Monumental disruptions: Aboriginal people and colonial commemorations in so-called Australia</w:t>
      </w:r>
      <w:r w:rsidRPr="00CE6B92">
        <w:rPr>
          <w:rFonts w:ascii="Aptos" w:eastAsia="Aptos" w:hAnsi="Aptos" w:cs="Aptos"/>
          <w:szCs w:val="28"/>
          <w:lang w:val="en-GB" w:eastAsia="zh-CN" w:bidi="th-TH"/>
        </w:rPr>
        <w:t xml:space="preserve">, Aboriginal Studies Press, Canberra. </w:t>
      </w:r>
    </w:p>
    <w:p w14:paraId="5BC198D2" w14:textId="10DBF770"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Carlson B and Kennedy T (2021) ‘Us mob online: The perils of identifying as Indigenous on social media’, </w:t>
      </w:r>
      <w:r w:rsidRPr="00CE6B92">
        <w:rPr>
          <w:rFonts w:ascii="Aptos" w:eastAsia="Aptos" w:hAnsi="Aptos" w:cs="Aptos"/>
          <w:i/>
          <w:iCs/>
          <w:szCs w:val="28"/>
          <w:lang w:val="en-GB" w:eastAsia="zh-CN" w:bidi="th-TH"/>
        </w:rPr>
        <w:t>Genealogy</w:t>
      </w:r>
      <w:r w:rsidRPr="00CE6B92">
        <w:rPr>
          <w:rFonts w:ascii="Aptos" w:eastAsia="Aptos" w:hAnsi="Aptos" w:cs="Aptos"/>
          <w:szCs w:val="28"/>
          <w:lang w:val="en-GB" w:eastAsia="zh-CN" w:bidi="th-TH"/>
        </w:rPr>
        <w:t>, 5(2), Article 52,</w:t>
      </w:r>
      <w:hyperlink r:id="rId45">
        <w:r w:rsidRPr="00CE6B92">
          <w:rPr>
            <w:rFonts w:ascii="Aptos" w:eastAsia="Aptos" w:hAnsi="Aptos" w:cs="Aptos"/>
            <w:szCs w:val="28"/>
            <w:u w:val="single"/>
            <w:lang w:val="en-GB" w:eastAsia="zh-CN" w:bidi="th-TH"/>
          </w:rPr>
          <w:t xml:space="preserve"> </w:t>
        </w:r>
      </w:hyperlink>
      <w:r w:rsidR="004F779E" w:rsidRPr="004F779E">
        <w:t xml:space="preserve"> </w:t>
      </w:r>
      <w:hyperlink r:id="rId46" w:history="1">
        <w:r w:rsidR="004F779E" w:rsidRPr="004F7C8C">
          <w:rPr>
            <w:rStyle w:val="Hyperlink"/>
          </w:rPr>
          <w:t>https://doi.org/10.3390/genealogy5020052</w:t>
        </w:r>
      </w:hyperlink>
      <w:r w:rsidR="004F779E">
        <w:t xml:space="preserve">. </w:t>
      </w:r>
      <w:r w:rsidRPr="00CE6B92">
        <w:rPr>
          <w:rFonts w:ascii="Aptos" w:eastAsia="Aptos" w:hAnsi="Aptos" w:cs="Aptos"/>
          <w:szCs w:val="28"/>
          <w:lang w:val="en-GB" w:eastAsia="zh-CN" w:bidi="th-TH"/>
        </w:rPr>
        <w:t xml:space="preserve"> </w:t>
      </w:r>
    </w:p>
    <w:p w14:paraId="54931F21" w14:textId="677A9E25" w:rsidR="000D36C3" w:rsidRPr="000D36C3" w:rsidRDefault="00CE6B92" w:rsidP="005D7D39">
      <w:pPr>
        <w:rPr>
          <w:rFonts w:ascii="Aptos" w:eastAsia="Aptos" w:hAnsi="Aptos" w:cs="Aptos"/>
          <w:szCs w:val="28"/>
          <w:lang w:val="en-GB" w:eastAsia="zh-CN" w:bidi="th-TH"/>
        </w:rPr>
      </w:pPr>
      <w:r w:rsidRPr="000D36C3">
        <w:rPr>
          <w:rFonts w:ascii="Aptos" w:eastAsia="Aptos" w:hAnsi="Aptos" w:cs="Aptos"/>
          <w:szCs w:val="28"/>
          <w:lang w:val="en-GB" w:eastAsia="zh-CN" w:bidi="th-TH"/>
        </w:rPr>
        <w:t xml:space="preserve">Carman JG (2007) ‘Evaluation practice among community-based organizations: Research into the reality’, </w:t>
      </w:r>
      <w:r w:rsidRPr="000D36C3">
        <w:rPr>
          <w:rFonts w:ascii="Aptos" w:eastAsia="Aptos" w:hAnsi="Aptos" w:cs="Aptos"/>
          <w:i/>
          <w:iCs/>
          <w:szCs w:val="28"/>
          <w:lang w:val="en-GB" w:eastAsia="zh-CN" w:bidi="th-TH"/>
        </w:rPr>
        <w:t>American Journal of Evaluation,</w:t>
      </w:r>
      <w:r w:rsidRPr="000D36C3">
        <w:rPr>
          <w:rFonts w:ascii="Aptos" w:eastAsia="Aptos" w:hAnsi="Aptos" w:cs="Aptos"/>
          <w:szCs w:val="28"/>
          <w:lang w:val="en-GB" w:eastAsia="zh-CN" w:bidi="th-TH"/>
        </w:rPr>
        <w:t xml:space="preserve"> 28(1): 60–75, </w:t>
      </w:r>
      <w:hyperlink r:id="rId47" w:history="1">
        <w:r w:rsidR="00FF64FC">
          <w:rPr>
            <w:rStyle w:val="Hyperlink"/>
          </w:rPr>
          <w:t>https://doi.org/10.1177/1098214006296245</w:t>
        </w:r>
      </w:hyperlink>
      <w:r w:rsidR="000D36C3">
        <w:t>.</w:t>
      </w:r>
    </w:p>
    <w:p w14:paraId="715BA575" w14:textId="5EA898CF" w:rsidR="00CE6B92" w:rsidRPr="000D36C3" w:rsidRDefault="00CE6B92" w:rsidP="005D7D39">
      <w:pPr>
        <w:rPr>
          <w:rFonts w:ascii="Aptos" w:eastAsia="Aptos" w:hAnsi="Aptos" w:cs="Aptos"/>
          <w:szCs w:val="28"/>
          <w:lang w:val="en-GB" w:eastAsia="zh-CN" w:bidi="th-TH"/>
        </w:rPr>
      </w:pPr>
      <w:r w:rsidRPr="000D36C3">
        <w:rPr>
          <w:rFonts w:ascii="Aptos" w:eastAsia="Aptos" w:hAnsi="Aptos" w:cs="Aptos"/>
          <w:szCs w:val="28"/>
          <w:lang w:val="en-GB" w:eastAsia="zh-CN" w:bidi="th-TH"/>
        </w:rPr>
        <w:t>Carslon B and Coe L-J (13 January 2022) ‘</w:t>
      </w:r>
      <w:hyperlink r:id="rId48">
        <w:r w:rsidRPr="00C4691C">
          <w:rPr>
            <w:rStyle w:val="Hyperlink"/>
            <w:lang w:val="en-GB" w:eastAsia="zh-CN" w:bidi="th-TH"/>
          </w:rPr>
          <w:t>A short history of the Aboriginal Tent Embassy – an indelible reminder of unceded sovereignty</w:t>
        </w:r>
      </w:hyperlink>
      <w:r w:rsidRPr="000D36C3">
        <w:rPr>
          <w:rFonts w:ascii="Aptos" w:eastAsia="Aptos" w:hAnsi="Aptos" w:cs="Aptos"/>
          <w:szCs w:val="28"/>
          <w:lang w:val="en-GB" w:eastAsia="zh-CN" w:bidi="th-TH"/>
        </w:rPr>
        <w:t xml:space="preserve">’, </w:t>
      </w:r>
      <w:r w:rsidRPr="000D36C3">
        <w:rPr>
          <w:rFonts w:ascii="Aptos" w:eastAsia="Aptos" w:hAnsi="Aptos" w:cs="Aptos"/>
          <w:i/>
          <w:iCs/>
          <w:szCs w:val="28"/>
          <w:lang w:val="en-GB" w:eastAsia="zh-CN" w:bidi="th-TH"/>
        </w:rPr>
        <w:t>The Conversation</w:t>
      </w:r>
      <w:r w:rsidRPr="000D36C3">
        <w:rPr>
          <w:rFonts w:ascii="Aptos" w:eastAsia="Aptos" w:hAnsi="Aptos" w:cs="Aptos"/>
          <w:szCs w:val="28"/>
          <w:lang w:val="en-GB" w:eastAsia="zh-CN" w:bidi="th-TH"/>
        </w:rPr>
        <w:t xml:space="preserve">, accessed </w:t>
      </w:r>
      <w:r w:rsidR="00ED43A6">
        <w:rPr>
          <w:rFonts w:ascii="Aptos" w:eastAsia="Aptos" w:hAnsi="Aptos" w:cs="Aptos"/>
          <w:szCs w:val="28"/>
          <w:lang w:val="en-GB" w:eastAsia="zh-CN" w:bidi="th-TH"/>
        </w:rPr>
        <w:br/>
      </w:r>
      <w:r w:rsidRPr="000D36C3">
        <w:rPr>
          <w:rFonts w:ascii="Aptos" w:eastAsia="Aptos" w:hAnsi="Aptos" w:cs="Aptos"/>
          <w:szCs w:val="28"/>
          <w:lang w:val="en-GB" w:eastAsia="zh-CN" w:bidi="th-TH"/>
        </w:rPr>
        <w:t xml:space="preserve">11 December 2024. </w:t>
      </w:r>
    </w:p>
    <w:p w14:paraId="63E75C8F" w14:textId="188F3159" w:rsidR="00CE6B92" w:rsidRPr="00CE6B92" w:rsidRDefault="00CE6B92" w:rsidP="005D7D39">
      <w:pPr>
        <w:shd w:val="clear" w:color="auto" w:fill="FFFFFF"/>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Carson A, </w:t>
      </w:r>
      <w:proofErr w:type="spellStart"/>
      <w:r w:rsidRPr="00CE6B92">
        <w:rPr>
          <w:rFonts w:ascii="Aptos" w:eastAsia="Aptos" w:hAnsi="Aptos" w:cs="Aptos"/>
          <w:szCs w:val="28"/>
          <w:lang w:val="en-GB" w:eastAsia="zh-CN" w:bidi="th-TH"/>
        </w:rPr>
        <w:t>Grömping</w:t>
      </w:r>
      <w:proofErr w:type="spellEnd"/>
      <w:r w:rsidRPr="00CE6B92">
        <w:rPr>
          <w:rFonts w:ascii="Aptos" w:eastAsia="Aptos" w:hAnsi="Aptos" w:cs="Aptos"/>
          <w:szCs w:val="28"/>
          <w:lang w:val="en-GB" w:eastAsia="zh-CN" w:bidi="th-TH"/>
        </w:rPr>
        <w:t xml:space="preserve"> M, Gravelle TB, Jackman S and Phillips JB (2024) ‘Alert, but not alarmed: Electoral disinformation and trust during the 2023 Australian voice to parliament referendum’, </w:t>
      </w:r>
      <w:r w:rsidRPr="00CE6B92">
        <w:rPr>
          <w:rFonts w:ascii="Aptos" w:eastAsia="Aptos" w:hAnsi="Aptos" w:cs="Aptos"/>
          <w:i/>
          <w:iCs/>
          <w:szCs w:val="28"/>
          <w:lang w:val="en-GB" w:eastAsia="zh-CN" w:bidi="th-TH"/>
        </w:rPr>
        <w:t>Policy &amp; Internet</w:t>
      </w:r>
      <w:r w:rsidRPr="00CE6B92">
        <w:rPr>
          <w:rFonts w:ascii="Aptos" w:eastAsia="Aptos" w:hAnsi="Aptos" w:cs="Aptos"/>
          <w:szCs w:val="28"/>
          <w:lang w:val="en-GB" w:eastAsia="zh-CN" w:bidi="th-TH"/>
        </w:rPr>
        <w:t xml:space="preserve">, </w:t>
      </w:r>
      <w:r w:rsidR="00893567">
        <w:rPr>
          <w:rFonts w:ascii="Aptos" w:eastAsia="Aptos" w:hAnsi="Aptos" w:cs="Aptos"/>
          <w:szCs w:val="28"/>
          <w:lang w:val="en-GB" w:eastAsia="zh-CN" w:bidi="th-TH"/>
        </w:rPr>
        <w:t>1</w:t>
      </w:r>
      <w:r w:rsidR="00F01AFF">
        <w:rPr>
          <w:rFonts w:ascii="Aptos" w:eastAsia="Aptos" w:hAnsi="Aptos" w:cs="Aptos"/>
          <w:szCs w:val="28"/>
          <w:lang w:val="en-GB" w:eastAsia="zh-CN" w:bidi="th-TH"/>
        </w:rPr>
        <w:t>7</w:t>
      </w:r>
      <w:r w:rsidR="00893567">
        <w:rPr>
          <w:rFonts w:ascii="Aptos" w:eastAsia="Aptos" w:hAnsi="Aptos" w:cs="Aptos"/>
          <w:szCs w:val="28"/>
          <w:lang w:val="en-GB" w:eastAsia="zh-CN" w:bidi="th-TH"/>
        </w:rPr>
        <w:t>(2): e429</w:t>
      </w:r>
      <w:r w:rsidRPr="00CE6B92">
        <w:rPr>
          <w:rFonts w:ascii="Aptos" w:eastAsia="Aptos" w:hAnsi="Aptos" w:cs="Aptos"/>
          <w:szCs w:val="28"/>
          <w:lang w:val="en-GB" w:eastAsia="zh-CN" w:bidi="th-TH"/>
        </w:rPr>
        <w:t xml:space="preserve">, </w:t>
      </w:r>
      <w:hyperlink r:id="rId49" w:history="1">
        <w:r w:rsidR="00C4691C" w:rsidRPr="004F7C8C">
          <w:rPr>
            <w:rStyle w:val="Hyperlink"/>
          </w:rPr>
          <w:t>https://doi.org/10.1002/poi3.429</w:t>
        </w:r>
      </w:hyperlink>
      <w:r w:rsidR="00C4691C">
        <w:t xml:space="preserve">. </w:t>
      </w:r>
    </w:p>
    <w:p w14:paraId="3DD6B8E2" w14:textId="1877C2B6"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Casara BGS, </w:t>
      </w:r>
      <w:proofErr w:type="spellStart"/>
      <w:r w:rsidRPr="00CE6B92">
        <w:rPr>
          <w:rFonts w:ascii="Aptos" w:eastAsia="Aptos" w:hAnsi="Aptos" w:cs="Aptos"/>
          <w:szCs w:val="28"/>
          <w:lang w:val="en-GB" w:eastAsia="zh-CN" w:bidi="th-TH"/>
        </w:rPr>
        <w:t>Suitner</w:t>
      </w:r>
      <w:proofErr w:type="spellEnd"/>
      <w:r w:rsidRPr="00CE6B92">
        <w:rPr>
          <w:rFonts w:ascii="Aptos" w:eastAsia="Aptos" w:hAnsi="Aptos" w:cs="Aptos"/>
          <w:szCs w:val="28"/>
          <w:lang w:val="en-GB" w:eastAsia="zh-CN" w:bidi="th-TH"/>
        </w:rPr>
        <w:t xml:space="preserve"> C and Jetten J (2022) ‘The impact of economic inequality on conspiracy beliefs’, </w:t>
      </w:r>
      <w:r w:rsidRPr="00CE6B92">
        <w:rPr>
          <w:rFonts w:ascii="Aptos" w:eastAsia="Aptos" w:hAnsi="Aptos" w:cs="Aptos"/>
          <w:i/>
          <w:iCs/>
          <w:szCs w:val="28"/>
          <w:lang w:val="en-GB" w:eastAsia="zh-CN" w:bidi="th-TH"/>
        </w:rPr>
        <w:t xml:space="preserve">Journal of Experimental and Social Psychology, </w:t>
      </w:r>
      <w:r w:rsidRPr="00CE6B92">
        <w:rPr>
          <w:rFonts w:ascii="Aptos" w:eastAsia="Aptos" w:hAnsi="Aptos" w:cs="Aptos"/>
          <w:szCs w:val="28"/>
          <w:lang w:val="en-GB" w:eastAsia="zh-CN" w:bidi="th-TH"/>
        </w:rPr>
        <w:t>98, Article 104245,</w:t>
      </w:r>
      <w:r w:rsidR="00EE65AC">
        <w:rPr>
          <w:rFonts w:ascii="Aptos" w:eastAsia="Aptos" w:hAnsi="Aptos" w:cs="Aptos"/>
          <w:szCs w:val="28"/>
          <w:lang w:val="en-GB" w:eastAsia="zh-CN" w:bidi="th-TH"/>
        </w:rPr>
        <w:t xml:space="preserve"> </w:t>
      </w:r>
      <w:hyperlink r:id="rId50" w:history="1">
        <w:r w:rsidR="00F51305">
          <w:rPr>
            <w:rStyle w:val="Hyperlink"/>
            <w:rFonts w:ascii="Aptos" w:eastAsia="Aptos" w:hAnsi="Aptos" w:cs="Aptos"/>
            <w:szCs w:val="28"/>
            <w:lang w:val="en-GB" w:eastAsia="zh-CN" w:bidi="th-TH"/>
          </w:rPr>
          <w:t>https://doi.org/10.1016/j.jesp.2021.104245</w:t>
        </w:r>
      </w:hyperlink>
      <w:r w:rsidR="009E74FD">
        <w:t>.</w:t>
      </w:r>
    </w:p>
    <w:p w14:paraId="717F9542" w14:textId="77777777"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Coe L-J (2024) ‘Unsettling the settler state and being on the frontline of Indigenous resistance’, in Carlson B, Day M, O'Sullivan S and Kennedy T (eds) </w:t>
      </w:r>
      <w:r w:rsidRPr="00CE6B92">
        <w:rPr>
          <w:rFonts w:ascii="Aptos" w:eastAsia="Aptos" w:hAnsi="Aptos" w:cs="Aptos"/>
          <w:i/>
          <w:iCs/>
          <w:szCs w:val="28"/>
          <w:lang w:val="en-GB" w:eastAsia="zh-CN" w:bidi="th-TH"/>
        </w:rPr>
        <w:t>The Routledge handbook of Australian Indigenous peoples and futures</w:t>
      </w:r>
      <w:r w:rsidRPr="00CE6B92">
        <w:rPr>
          <w:rFonts w:ascii="Aptos" w:eastAsia="Aptos" w:hAnsi="Aptos" w:cs="Aptos"/>
          <w:szCs w:val="28"/>
          <w:lang w:val="en-GB" w:eastAsia="zh-CN" w:bidi="th-TH"/>
        </w:rPr>
        <w:t xml:space="preserve">, Routledge, London. </w:t>
      </w:r>
    </w:p>
    <w:p w14:paraId="468DF90A" w14:textId="3C43465E"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Cole JB and Lott, LL (eds) (2019) </w:t>
      </w:r>
      <w:r w:rsidRPr="00CE6B92">
        <w:rPr>
          <w:rFonts w:ascii="Aptos" w:eastAsia="Aptos" w:hAnsi="Aptos" w:cs="Aptos"/>
          <w:i/>
          <w:iCs/>
          <w:szCs w:val="28"/>
          <w:lang w:val="en-GB" w:eastAsia="zh-CN" w:bidi="th-TH"/>
        </w:rPr>
        <w:t>Diversity, equity, accessibility, and inclusion in museums</w:t>
      </w:r>
      <w:r w:rsidRPr="00CE6B92">
        <w:rPr>
          <w:rFonts w:ascii="Aptos" w:eastAsia="Aptos" w:hAnsi="Aptos" w:cs="Aptos"/>
          <w:szCs w:val="28"/>
          <w:lang w:val="en-GB" w:eastAsia="zh-CN" w:bidi="th-TH"/>
        </w:rPr>
        <w:t xml:space="preserve">, Rowman and Littlefield, Lanham. </w:t>
      </w:r>
    </w:p>
    <w:p w14:paraId="4F97DC68" w14:textId="23199B03" w:rsidR="00CE6B92" w:rsidRPr="00F940DA" w:rsidRDefault="00CE6B92" w:rsidP="005D7D39">
      <w:pPr>
        <w:rPr>
          <w:rFonts w:ascii="Aptos" w:eastAsia="Aptos" w:hAnsi="Aptos" w:cs="Aptos"/>
          <w:szCs w:val="28"/>
          <w:lang w:val="en-GB" w:eastAsia="zh-CN" w:bidi="th-TH"/>
        </w:rPr>
      </w:pPr>
      <w:r w:rsidRPr="00F940DA">
        <w:rPr>
          <w:rFonts w:ascii="Aptos" w:eastAsia="Aptos" w:hAnsi="Aptos" w:cs="Aptos"/>
          <w:szCs w:val="28"/>
          <w:lang w:val="en-GB" w:eastAsia="zh-CN" w:bidi="th-TH"/>
        </w:rPr>
        <w:t xml:space="preserve">Commonwealth of Australia (2023) </w:t>
      </w:r>
      <w:hyperlink r:id="rId51">
        <w:r w:rsidRPr="00F940DA">
          <w:rPr>
            <w:rFonts w:ascii="Aptos" w:eastAsia="Aptos" w:hAnsi="Aptos" w:cs="Aptos"/>
            <w:i/>
            <w:iCs/>
            <w:szCs w:val="28"/>
            <w:u w:val="single"/>
            <w:lang w:val="en-GB" w:eastAsia="zh-CN" w:bidi="th-TH"/>
          </w:rPr>
          <w:t>Revive: A place for every story, a story for every place – Australia’s cultural policy for the next five years</w:t>
        </w:r>
      </w:hyperlink>
      <w:r w:rsidRPr="00F940DA">
        <w:rPr>
          <w:rFonts w:ascii="Aptos" w:eastAsia="Aptos" w:hAnsi="Aptos" w:cs="Aptos"/>
          <w:szCs w:val="28"/>
          <w:lang w:val="en-GB" w:eastAsia="zh-CN" w:bidi="th-TH"/>
        </w:rPr>
        <w:t xml:space="preserve">, </w:t>
      </w:r>
      <w:r w:rsidR="00F940DA" w:rsidRPr="00F940DA">
        <w:rPr>
          <w:rFonts w:ascii="Aptos" w:eastAsia="Aptos" w:hAnsi="Aptos" w:cs="Aptos"/>
          <w:szCs w:val="28"/>
          <w:lang w:val="en-GB" w:eastAsia="zh-CN" w:bidi="th-TH"/>
        </w:rPr>
        <w:t>Commonwealth of Australia,</w:t>
      </w:r>
      <w:r w:rsidRPr="00F940DA">
        <w:rPr>
          <w:rFonts w:ascii="Aptos" w:eastAsia="Aptos" w:hAnsi="Aptos" w:cs="Aptos"/>
          <w:szCs w:val="28"/>
          <w:lang w:val="en-GB" w:eastAsia="zh-CN" w:bidi="th-TH"/>
        </w:rPr>
        <w:t xml:space="preserve"> Canberra. </w:t>
      </w:r>
    </w:p>
    <w:p w14:paraId="0FEF7194" w14:textId="09CA8943"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Cooke NA (2022) ‘A right to be misinformed? Considering fake news as a form of information poverty’ </w:t>
      </w:r>
      <w:r w:rsidR="00C32B9B">
        <w:rPr>
          <w:rFonts w:ascii="Aptos" w:eastAsia="Aptos" w:hAnsi="Aptos" w:cs="Aptos"/>
          <w:szCs w:val="28"/>
          <w:lang w:val="en-GB" w:eastAsia="zh-CN" w:bidi="th-TH"/>
        </w:rPr>
        <w:t xml:space="preserve">in </w:t>
      </w:r>
      <w:r w:rsidR="00C37584">
        <w:rPr>
          <w:rFonts w:ascii="Aptos" w:eastAsia="Aptos" w:hAnsi="Aptos" w:cs="Aptos"/>
          <w:szCs w:val="28"/>
          <w:lang w:val="en-GB" w:eastAsia="zh-CN" w:bidi="th-TH"/>
        </w:rPr>
        <w:t xml:space="preserve">Taylor NG, </w:t>
      </w:r>
      <w:proofErr w:type="spellStart"/>
      <w:r w:rsidR="00D33B88">
        <w:rPr>
          <w:rFonts w:ascii="Aptos" w:eastAsia="Aptos" w:hAnsi="Aptos" w:cs="Aptos"/>
          <w:szCs w:val="28"/>
          <w:lang w:val="en-GB" w:eastAsia="zh-CN" w:bidi="th-TH"/>
        </w:rPr>
        <w:t>Kettnich</w:t>
      </w:r>
      <w:proofErr w:type="spellEnd"/>
      <w:r w:rsidR="00D33B88">
        <w:rPr>
          <w:rFonts w:ascii="Aptos" w:eastAsia="Aptos" w:hAnsi="Aptos" w:cs="Aptos"/>
          <w:szCs w:val="28"/>
          <w:lang w:val="en-GB" w:eastAsia="zh-CN" w:bidi="th-TH"/>
        </w:rPr>
        <w:t xml:space="preserve"> K, Gorham U</w:t>
      </w:r>
      <w:r w:rsidR="00A02234">
        <w:rPr>
          <w:rFonts w:ascii="Aptos" w:eastAsia="Aptos" w:hAnsi="Aptos" w:cs="Aptos"/>
          <w:szCs w:val="28"/>
          <w:lang w:val="en-GB" w:eastAsia="zh-CN" w:bidi="th-TH"/>
        </w:rPr>
        <w:t xml:space="preserve"> and </w:t>
      </w:r>
      <w:r w:rsidR="00D33B88">
        <w:rPr>
          <w:rFonts w:ascii="Aptos" w:eastAsia="Aptos" w:hAnsi="Aptos" w:cs="Aptos"/>
          <w:szCs w:val="28"/>
          <w:lang w:val="en-GB" w:eastAsia="zh-CN" w:bidi="th-TH"/>
        </w:rPr>
        <w:t>Jaeger, PT</w:t>
      </w:r>
      <w:r w:rsidR="00290DA0">
        <w:rPr>
          <w:rFonts w:ascii="Aptos" w:eastAsia="Aptos" w:hAnsi="Aptos" w:cs="Aptos"/>
          <w:szCs w:val="28"/>
          <w:lang w:val="en-GB" w:eastAsia="zh-CN" w:bidi="th-TH"/>
        </w:rPr>
        <w:t xml:space="preserve"> (eds) </w:t>
      </w:r>
      <w:r w:rsidR="00760E29" w:rsidRPr="00760E29">
        <w:rPr>
          <w:rFonts w:ascii="Aptos" w:eastAsia="Aptos" w:hAnsi="Aptos" w:cs="Aptos"/>
          <w:i/>
          <w:iCs/>
          <w:szCs w:val="28"/>
          <w:lang w:eastAsia="zh-CN" w:bidi="th-TH"/>
        </w:rPr>
        <w:t>Libraries and the Global Retreat of Democracy: Confronting Polarization, Misinformation, and Suppression,</w:t>
      </w:r>
      <w:r w:rsidR="00A02234">
        <w:rPr>
          <w:rFonts w:ascii="Aptos" w:eastAsia="Aptos" w:hAnsi="Aptos" w:cs="Aptos"/>
          <w:szCs w:val="28"/>
          <w:lang w:eastAsia="zh-CN" w:bidi="th-TH"/>
        </w:rPr>
        <w:t xml:space="preserve"> </w:t>
      </w:r>
      <w:r w:rsidR="003553C1">
        <w:rPr>
          <w:rFonts w:ascii="Aptos" w:eastAsia="Aptos" w:hAnsi="Aptos" w:cs="Aptos"/>
          <w:szCs w:val="28"/>
          <w:lang w:eastAsia="zh-CN" w:bidi="th-TH"/>
        </w:rPr>
        <w:t xml:space="preserve">Emerald </w:t>
      </w:r>
      <w:r w:rsidR="002B0CCA">
        <w:rPr>
          <w:rFonts w:ascii="Aptos" w:eastAsia="Aptos" w:hAnsi="Aptos" w:cs="Aptos"/>
          <w:szCs w:val="28"/>
          <w:lang w:eastAsia="zh-CN" w:bidi="th-TH"/>
        </w:rPr>
        <w:t xml:space="preserve">Publishing Limited, </w:t>
      </w:r>
      <w:hyperlink r:id="rId52" w:history="1">
        <w:r w:rsidR="00760E29" w:rsidRPr="00FB763F">
          <w:rPr>
            <w:rStyle w:val="Hyperlink"/>
          </w:rPr>
          <w:t>https://doi.org/10.1108/S0065-283020210000050002</w:t>
        </w:r>
      </w:hyperlink>
      <w:r w:rsidRPr="00CE6B92">
        <w:rPr>
          <w:rFonts w:ascii="Aptos" w:eastAsia="Aptos" w:hAnsi="Aptos" w:cs="Aptos"/>
          <w:szCs w:val="28"/>
          <w:lang w:val="en-GB" w:eastAsia="zh-CN" w:bidi="th-TH"/>
        </w:rPr>
        <w:t>.</w:t>
      </w:r>
      <w:r w:rsidR="00760E29">
        <w:rPr>
          <w:rFonts w:ascii="Aptos" w:eastAsia="Aptos" w:hAnsi="Aptos" w:cs="Aptos"/>
          <w:szCs w:val="28"/>
          <w:lang w:val="en-GB" w:eastAsia="zh-CN" w:bidi="th-TH"/>
        </w:rPr>
        <w:t xml:space="preserve"> </w:t>
      </w:r>
      <w:r w:rsidRPr="00CE6B92">
        <w:rPr>
          <w:rFonts w:ascii="Aptos" w:eastAsia="Aptos" w:hAnsi="Aptos" w:cs="Aptos"/>
          <w:szCs w:val="28"/>
          <w:lang w:val="en-GB" w:eastAsia="zh-CN" w:bidi="th-TH"/>
        </w:rPr>
        <w:t xml:space="preserve"> </w:t>
      </w:r>
    </w:p>
    <w:p w14:paraId="6FE4EE8A" w14:textId="48E7A95E" w:rsidR="00CE6B92" w:rsidRPr="00585A5F" w:rsidRDefault="00CE6B92" w:rsidP="005D7D39">
      <w:pPr>
        <w:shd w:val="clear" w:color="auto" w:fill="FFFFFF"/>
        <w:rPr>
          <w:rFonts w:ascii="Aptos" w:eastAsia="Aptos" w:hAnsi="Aptos" w:cs="Aptos"/>
          <w:szCs w:val="28"/>
          <w:lang w:val="en-GB" w:eastAsia="zh-CN" w:bidi="th-TH"/>
        </w:rPr>
      </w:pPr>
      <w:r w:rsidRPr="00585A5F">
        <w:rPr>
          <w:rFonts w:ascii="Aptos" w:eastAsia="Aptos" w:hAnsi="Aptos" w:cs="Aptos"/>
          <w:szCs w:val="28"/>
          <w:lang w:val="en-GB" w:eastAsia="zh-CN" w:bidi="th-TH"/>
        </w:rPr>
        <w:t xml:space="preserve">Creative Australia (2023) </w:t>
      </w:r>
      <w:hyperlink r:id="rId53">
        <w:r w:rsidRPr="00585A5F">
          <w:rPr>
            <w:rStyle w:val="Hyperlink"/>
            <w:i/>
            <w:iCs/>
          </w:rPr>
          <w:t>Creating value: Results of the national arts participation survey</w:t>
        </w:r>
      </w:hyperlink>
      <w:r w:rsidRPr="00585A5F">
        <w:rPr>
          <w:rFonts w:ascii="Aptos" w:eastAsia="Aptos" w:hAnsi="Aptos" w:cs="Aptos"/>
          <w:szCs w:val="28"/>
          <w:lang w:val="en-GB" w:eastAsia="zh-CN" w:bidi="th-TH"/>
        </w:rPr>
        <w:t>, Commonwealth of Australia, Canberra.</w:t>
      </w:r>
    </w:p>
    <w:p w14:paraId="3CA011AE" w14:textId="283860A4"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Crooks K, Casey D and Ward J (2020) ‘</w:t>
      </w:r>
      <w:r w:rsidR="00057DF3">
        <w:rPr>
          <w:rFonts w:ascii="Aptos" w:eastAsia="Aptos" w:hAnsi="Aptos" w:cs="Aptos"/>
          <w:szCs w:val="28"/>
          <w:lang w:val="en-GB" w:eastAsia="zh-CN" w:bidi="th-TH"/>
        </w:rPr>
        <w:t>First Nation</w:t>
      </w:r>
      <w:r w:rsidRPr="00CE6B92">
        <w:rPr>
          <w:rFonts w:ascii="Aptos" w:eastAsia="Aptos" w:hAnsi="Aptos" w:cs="Aptos"/>
          <w:szCs w:val="28"/>
          <w:lang w:val="en-GB" w:eastAsia="zh-CN" w:bidi="th-TH"/>
        </w:rPr>
        <w:t xml:space="preserve">s peoples leading the way in COVID-19 pandemic planning, response and management’, </w:t>
      </w:r>
      <w:r w:rsidRPr="00CE6B92">
        <w:rPr>
          <w:rFonts w:ascii="Aptos" w:eastAsia="Aptos" w:hAnsi="Aptos" w:cs="Aptos"/>
          <w:i/>
          <w:iCs/>
          <w:szCs w:val="28"/>
          <w:lang w:val="en-GB" w:eastAsia="zh-CN" w:bidi="th-TH"/>
        </w:rPr>
        <w:t xml:space="preserve">The Medical Journal of Australia, </w:t>
      </w:r>
      <w:r w:rsidRPr="00CE6B92">
        <w:rPr>
          <w:rFonts w:ascii="Aptos" w:eastAsia="Aptos" w:hAnsi="Aptos" w:cs="Aptos"/>
          <w:szCs w:val="28"/>
          <w:lang w:val="en-GB" w:eastAsia="zh-CN" w:bidi="th-TH"/>
        </w:rPr>
        <w:t xml:space="preserve">213(4):151-152e1, </w:t>
      </w:r>
      <w:hyperlink r:id="rId54" w:history="1">
        <w:r w:rsidR="0028554D" w:rsidRPr="00FB763F">
          <w:rPr>
            <w:rStyle w:val="Hyperlink"/>
          </w:rPr>
          <w:t>https://doi.org/10.5694/mja2.50704</w:t>
        </w:r>
      </w:hyperlink>
      <w:r w:rsidRPr="00CE6B92">
        <w:rPr>
          <w:rFonts w:ascii="Aptos" w:eastAsia="Aptos" w:hAnsi="Aptos" w:cs="Aptos"/>
          <w:szCs w:val="28"/>
          <w:lang w:val="en-GB" w:eastAsia="zh-CN" w:bidi="th-TH"/>
        </w:rPr>
        <w:t>.</w:t>
      </w:r>
      <w:r w:rsidR="0028554D">
        <w:rPr>
          <w:rFonts w:ascii="Aptos" w:eastAsia="Aptos" w:hAnsi="Aptos" w:cs="Aptos"/>
          <w:szCs w:val="28"/>
          <w:lang w:val="en-GB" w:eastAsia="zh-CN" w:bidi="th-TH"/>
        </w:rPr>
        <w:t xml:space="preserve"> </w:t>
      </w:r>
      <w:r w:rsidRPr="00CE6B92">
        <w:rPr>
          <w:rFonts w:ascii="Aptos" w:eastAsia="Aptos" w:hAnsi="Aptos" w:cs="Aptos"/>
          <w:szCs w:val="28"/>
          <w:lang w:val="en-GB" w:eastAsia="zh-CN" w:bidi="th-TH"/>
        </w:rPr>
        <w:t xml:space="preserve"> </w:t>
      </w:r>
      <w:r w:rsidR="0028554D">
        <w:rPr>
          <w:rFonts w:ascii="Aptos" w:eastAsia="Aptos" w:hAnsi="Aptos" w:cs="Aptos"/>
          <w:szCs w:val="28"/>
          <w:lang w:val="en-GB" w:eastAsia="zh-CN" w:bidi="th-TH"/>
        </w:rPr>
        <w:t xml:space="preserve"> </w:t>
      </w:r>
    </w:p>
    <w:p w14:paraId="63D30944" w14:textId="170A42BF"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A</w:t>
      </w:r>
      <w:r w:rsidR="00421300">
        <w:rPr>
          <w:rFonts w:ascii="Aptos" w:eastAsia="Aptos" w:hAnsi="Aptos" w:cs="Aptos"/>
          <w:szCs w:val="28"/>
          <w:lang w:val="en-GB" w:eastAsia="zh-CN" w:bidi="th-TH"/>
        </w:rPr>
        <w:t>llen D</w:t>
      </w:r>
      <w:r w:rsidRPr="00CE6B92">
        <w:rPr>
          <w:rFonts w:ascii="Aptos" w:eastAsia="Aptos" w:hAnsi="Aptos" w:cs="Aptos"/>
          <w:szCs w:val="28"/>
          <w:lang w:val="en-GB" w:eastAsia="zh-CN" w:bidi="th-TH"/>
        </w:rPr>
        <w:t xml:space="preserve"> (2004) </w:t>
      </w:r>
      <w:r w:rsidRPr="00407DDF">
        <w:rPr>
          <w:rFonts w:ascii="Aptos" w:eastAsia="Aptos" w:hAnsi="Aptos" w:cs="Aptos"/>
          <w:i/>
          <w:iCs/>
          <w:szCs w:val="28"/>
          <w:lang w:val="en-GB" w:eastAsia="zh-CN" w:bidi="th-TH"/>
        </w:rPr>
        <w:t>Talking to strangers – Anxieties of citizenship since Brown v. Board of Education</w:t>
      </w:r>
      <w:r w:rsidRPr="00CE6B92">
        <w:rPr>
          <w:rFonts w:ascii="Aptos" w:eastAsia="Aptos" w:hAnsi="Aptos" w:cs="Aptos"/>
          <w:szCs w:val="28"/>
          <w:lang w:val="en-GB" w:eastAsia="zh-CN" w:bidi="th-TH"/>
        </w:rPr>
        <w:t xml:space="preserve">, University of Chicago Press, Chicago. </w:t>
      </w:r>
    </w:p>
    <w:p w14:paraId="3217535D" w14:textId="04FB2A00" w:rsidR="00CE6B92" w:rsidRPr="00CE6B92" w:rsidRDefault="00CE6B92" w:rsidP="005D7D39">
      <w:pPr>
        <w:rPr>
          <w:rFonts w:ascii="Aptos" w:eastAsia="Aptos" w:hAnsi="Aptos" w:cs="Aptos"/>
          <w:szCs w:val="28"/>
          <w:lang w:val="en-GB" w:eastAsia="zh-CN" w:bidi="th-TH"/>
        </w:rPr>
      </w:pPr>
      <w:r w:rsidRPr="00AB1B7A">
        <w:rPr>
          <w:rFonts w:ascii="Aptos" w:eastAsia="Aptos" w:hAnsi="Aptos" w:cs="Aptos"/>
          <w:szCs w:val="28"/>
          <w:lang w:val="en-GB" w:eastAsia="zh-CN" w:bidi="th-TH"/>
        </w:rPr>
        <w:t>Darian-Smith K (26 January 2017) ‘</w:t>
      </w:r>
      <w:hyperlink r:id="rId55">
        <w:r w:rsidRPr="00407DDF">
          <w:rPr>
            <w:rStyle w:val="Hyperlink"/>
          </w:rPr>
          <w:t>Australia Day, Invasion Day, Survival Day: A long history of celebration and contestation</w:t>
        </w:r>
      </w:hyperlink>
      <w:r w:rsidRPr="00AB1B7A">
        <w:rPr>
          <w:rFonts w:ascii="Aptos" w:eastAsia="Aptos" w:hAnsi="Aptos" w:cs="Aptos"/>
          <w:szCs w:val="28"/>
          <w:lang w:val="en-GB" w:eastAsia="zh-CN" w:bidi="th-TH"/>
        </w:rPr>
        <w:t>’,</w:t>
      </w:r>
      <w:r w:rsidRPr="00CE6B92">
        <w:rPr>
          <w:rFonts w:ascii="Aptos" w:eastAsia="Aptos" w:hAnsi="Aptos" w:cs="Aptos"/>
          <w:szCs w:val="28"/>
          <w:lang w:val="en-GB" w:eastAsia="zh-CN" w:bidi="th-TH"/>
        </w:rPr>
        <w:t xml:space="preserve"> </w:t>
      </w:r>
      <w:r w:rsidRPr="00CE6B92">
        <w:rPr>
          <w:rFonts w:ascii="Aptos" w:eastAsia="Aptos" w:hAnsi="Aptos" w:cs="Aptos"/>
          <w:i/>
          <w:iCs/>
          <w:szCs w:val="28"/>
          <w:lang w:val="en-GB" w:eastAsia="zh-CN" w:bidi="th-TH"/>
        </w:rPr>
        <w:t>The Conversation</w:t>
      </w:r>
      <w:r w:rsidRPr="00CE6B92">
        <w:rPr>
          <w:rFonts w:ascii="Aptos" w:eastAsia="Aptos" w:hAnsi="Aptos" w:cs="Aptos"/>
          <w:szCs w:val="28"/>
          <w:lang w:val="en-GB" w:eastAsia="zh-CN" w:bidi="th-TH"/>
        </w:rPr>
        <w:t xml:space="preserve">, accessed </w:t>
      </w:r>
      <w:r w:rsidR="00ED43A6">
        <w:rPr>
          <w:rFonts w:ascii="Aptos" w:eastAsia="Aptos" w:hAnsi="Aptos" w:cs="Aptos"/>
          <w:szCs w:val="28"/>
          <w:lang w:val="en-GB" w:eastAsia="zh-CN" w:bidi="th-TH"/>
        </w:rPr>
        <w:br/>
      </w:r>
      <w:r w:rsidRPr="00CE6B92">
        <w:rPr>
          <w:rFonts w:ascii="Aptos" w:eastAsia="Aptos" w:hAnsi="Aptos" w:cs="Aptos"/>
          <w:szCs w:val="28"/>
          <w:lang w:val="en-GB" w:eastAsia="zh-CN" w:bidi="th-TH"/>
        </w:rPr>
        <w:t xml:space="preserve">19 December 2024. </w:t>
      </w:r>
    </w:p>
    <w:p w14:paraId="43E5F293" w14:textId="494709CF"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lastRenderedPageBreak/>
        <w:t xml:space="preserve">Davis C and </w:t>
      </w:r>
      <w:proofErr w:type="spellStart"/>
      <w:r w:rsidRPr="00CE6B92">
        <w:rPr>
          <w:rFonts w:ascii="Aptos" w:eastAsia="Aptos" w:hAnsi="Aptos" w:cs="Aptos"/>
          <w:szCs w:val="28"/>
          <w:lang w:val="en-GB" w:eastAsia="zh-CN" w:bidi="th-TH"/>
        </w:rPr>
        <w:t>Pescud</w:t>
      </w:r>
      <w:proofErr w:type="spellEnd"/>
      <w:r w:rsidRPr="00CE6B92">
        <w:rPr>
          <w:rFonts w:ascii="Aptos" w:eastAsia="Aptos" w:hAnsi="Aptos" w:cs="Aptos"/>
          <w:szCs w:val="28"/>
          <w:lang w:val="en-GB" w:eastAsia="zh-CN" w:bidi="th-TH"/>
        </w:rPr>
        <w:t xml:space="preserve"> M (2020) </w:t>
      </w:r>
      <w:hyperlink r:id="rId56">
        <w:r w:rsidRPr="00407DDF">
          <w:rPr>
            <w:rStyle w:val="Hyperlink"/>
            <w:i/>
            <w:iCs/>
          </w:rPr>
          <w:t>The arts and creative industries in health promotion</w:t>
        </w:r>
      </w:hyperlink>
      <w:r w:rsidR="00C62BCE">
        <w:rPr>
          <w:rFonts w:ascii="Aptos" w:eastAsia="Aptos" w:hAnsi="Aptos" w:cs="Aptos"/>
          <w:szCs w:val="28"/>
          <w:lang w:val="en-GB" w:eastAsia="zh-CN" w:bidi="th-TH"/>
        </w:rPr>
        <w:t xml:space="preserve"> [PDF],</w:t>
      </w:r>
      <w:r w:rsidRPr="00CE6B92">
        <w:rPr>
          <w:rFonts w:ascii="Aptos" w:eastAsia="Aptos" w:hAnsi="Aptos" w:cs="Aptos"/>
          <w:szCs w:val="28"/>
          <w:lang w:val="en-GB" w:eastAsia="zh-CN" w:bidi="th-TH"/>
        </w:rPr>
        <w:t xml:space="preserve"> VicHealth, Melbourne. </w:t>
      </w:r>
    </w:p>
    <w:p w14:paraId="6797B86F" w14:textId="4C82F52B"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De Brasi D, </w:t>
      </w:r>
      <w:proofErr w:type="spellStart"/>
      <w:r w:rsidRPr="00CE6B92">
        <w:rPr>
          <w:rFonts w:ascii="Aptos" w:eastAsia="Aptos" w:hAnsi="Aptos" w:cs="Aptos"/>
          <w:szCs w:val="28"/>
          <w:lang w:val="en-GB" w:eastAsia="zh-CN" w:bidi="th-TH"/>
        </w:rPr>
        <w:t>Papathomas</w:t>
      </w:r>
      <w:proofErr w:type="spellEnd"/>
      <w:r w:rsidRPr="00CE6B92">
        <w:rPr>
          <w:rFonts w:ascii="Aptos" w:eastAsia="Aptos" w:hAnsi="Aptos" w:cs="Aptos"/>
          <w:szCs w:val="28"/>
          <w:lang w:val="en-GB" w:eastAsia="zh-CN" w:bidi="th-TH"/>
        </w:rPr>
        <w:t xml:space="preserve"> A and </w:t>
      </w:r>
      <w:proofErr w:type="spellStart"/>
      <w:r w:rsidRPr="00CE6B92">
        <w:rPr>
          <w:rFonts w:ascii="Aptos" w:eastAsia="Aptos" w:hAnsi="Aptos" w:cs="Aptos"/>
          <w:szCs w:val="28"/>
          <w:lang w:val="en-GB" w:eastAsia="zh-CN" w:bidi="th-TH"/>
        </w:rPr>
        <w:t>Tsiampokalos</w:t>
      </w:r>
      <w:proofErr w:type="spellEnd"/>
      <w:r w:rsidRPr="00CE6B92">
        <w:rPr>
          <w:rFonts w:ascii="Aptos" w:eastAsia="Aptos" w:hAnsi="Aptos" w:cs="Aptos"/>
          <w:szCs w:val="28"/>
          <w:lang w:val="en-GB" w:eastAsia="zh-CN" w:bidi="th-TH"/>
        </w:rPr>
        <w:t xml:space="preserve"> T (eds) (2024) </w:t>
      </w:r>
      <w:r w:rsidRPr="00CE6B92">
        <w:rPr>
          <w:rFonts w:ascii="Aptos" w:eastAsia="Aptos" w:hAnsi="Aptos" w:cs="Aptos"/>
          <w:i/>
          <w:iCs/>
          <w:szCs w:val="28"/>
          <w:lang w:val="en-GB" w:eastAsia="zh-CN" w:bidi="th-TH"/>
        </w:rPr>
        <w:t>Fake news in Ancient Greece: Forms and functions of ‘false information’ in ancient Greek literature</w:t>
      </w:r>
      <w:r w:rsidRPr="00CE6B92">
        <w:rPr>
          <w:rFonts w:ascii="Aptos" w:eastAsia="Aptos" w:hAnsi="Aptos" w:cs="Aptos"/>
          <w:szCs w:val="28"/>
          <w:lang w:val="en-GB" w:eastAsia="zh-CN" w:bidi="th-TH"/>
        </w:rPr>
        <w:t>, De</w:t>
      </w:r>
      <w:r w:rsidR="00EA5229">
        <w:rPr>
          <w:rFonts w:ascii="Aptos" w:eastAsia="Aptos" w:hAnsi="Aptos" w:cs="Aptos"/>
          <w:szCs w:val="28"/>
          <w:lang w:val="en-GB" w:eastAsia="zh-CN" w:bidi="th-TH"/>
        </w:rPr>
        <w:t> </w:t>
      </w:r>
      <w:r w:rsidRPr="00CE6B92">
        <w:rPr>
          <w:rFonts w:ascii="Aptos" w:eastAsia="Aptos" w:hAnsi="Aptos" w:cs="Aptos"/>
          <w:szCs w:val="28"/>
          <w:lang w:val="en-GB" w:eastAsia="zh-CN" w:bidi="th-TH"/>
        </w:rPr>
        <w:t xml:space="preserve">Gruyter, London. </w:t>
      </w:r>
    </w:p>
    <w:p w14:paraId="428B5BA8" w14:textId="4E0A8001"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De Paor S and Heravi B (2020) ‘Information literacy and fake news: How the field of librarianship can help combat the epidemic of fake news’, </w:t>
      </w:r>
      <w:r w:rsidRPr="00CE6B92">
        <w:rPr>
          <w:rFonts w:ascii="Aptos" w:eastAsia="Aptos" w:hAnsi="Aptos" w:cs="Aptos"/>
          <w:i/>
          <w:iCs/>
          <w:szCs w:val="28"/>
          <w:lang w:val="en-GB" w:eastAsia="zh-CN" w:bidi="th-TH"/>
        </w:rPr>
        <w:t>The Journal of Academic Librarianship</w:t>
      </w:r>
      <w:r w:rsidRPr="00CE6B92">
        <w:rPr>
          <w:rFonts w:ascii="Aptos" w:eastAsia="Aptos" w:hAnsi="Aptos" w:cs="Aptos"/>
          <w:szCs w:val="28"/>
          <w:lang w:val="en-GB" w:eastAsia="zh-CN" w:bidi="th-TH"/>
        </w:rPr>
        <w:t>, 46(5):</w:t>
      </w:r>
      <w:r w:rsidR="00BF31BB" w:rsidRPr="00BF31BB">
        <w:rPr>
          <w:rFonts w:ascii="Arial" w:hAnsi="Arial" w:cs="Arial"/>
          <w:color w:val="1F1F1F"/>
          <w:sz w:val="21"/>
          <w:szCs w:val="21"/>
        </w:rPr>
        <w:t xml:space="preserve"> </w:t>
      </w:r>
      <w:r w:rsidR="00BF31BB" w:rsidRPr="00BF31BB">
        <w:rPr>
          <w:rFonts w:ascii="Aptos" w:eastAsia="Aptos" w:hAnsi="Aptos" w:cs="Aptos"/>
          <w:szCs w:val="28"/>
          <w:lang w:eastAsia="zh-CN" w:bidi="th-TH"/>
        </w:rPr>
        <w:t>102218</w:t>
      </w:r>
      <w:r w:rsidRPr="00CE6B92">
        <w:rPr>
          <w:rFonts w:ascii="Aptos" w:eastAsia="Aptos" w:hAnsi="Aptos" w:cs="Aptos"/>
          <w:szCs w:val="28"/>
          <w:lang w:val="en-GB" w:eastAsia="zh-CN" w:bidi="th-TH"/>
        </w:rPr>
        <w:t xml:space="preserve">, </w:t>
      </w:r>
      <w:hyperlink r:id="rId57" w:history="1">
        <w:r w:rsidR="004F30CD" w:rsidRPr="00FB763F">
          <w:rPr>
            <w:rStyle w:val="Hyperlink"/>
          </w:rPr>
          <w:t>https://doi.org/10.1016/j.acalib.2020.102218</w:t>
        </w:r>
      </w:hyperlink>
      <w:r w:rsidRPr="00CE6B92">
        <w:rPr>
          <w:rFonts w:ascii="Aptos" w:eastAsia="Aptos" w:hAnsi="Aptos" w:cs="Aptos"/>
          <w:szCs w:val="28"/>
          <w:lang w:val="en-GB" w:eastAsia="zh-CN" w:bidi="th-TH"/>
        </w:rPr>
        <w:t>.</w:t>
      </w:r>
      <w:r w:rsidR="004F30CD">
        <w:rPr>
          <w:rFonts w:ascii="Aptos" w:eastAsia="Aptos" w:hAnsi="Aptos" w:cs="Aptos"/>
          <w:szCs w:val="28"/>
          <w:lang w:val="en-GB" w:eastAsia="zh-CN" w:bidi="th-TH"/>
        </w:rPr>
        <w:t xml:space="preserve"> </w:t>
      </w:r>
      <w:r w:rsidRPr="00CE6B92">
        <w:rPr>
          <w:rFonts w:ascii="Aptos" w:eastAsia="Aptos" w:hAnsi="Aptos" w:cs="Aptos"/>
          <w:szCs w:val="28"/>
          <w:lang w:val="en-GB" w:eastAsia="zh-CN" w:bidi="th-TH"/>
        </w:rPr>
        <w:t xml:space="preserve"> </w:t>
      </w:r>
    </w:p>
    <w:p w14:paraId="5AF2BDAE" w14:textId="2ED87A56" w:rsidR="00BF31BB" w:rsidRPr="00BF31BB" w:rsidRDefault="00CE6B92" w:rsidP="005D7D39">
      <w:pPr>
        <w:rPr>
          <w:rFonts w:ascii="Aptos" w:eastAsia="Aptos" w:hAnsi="Aptos" w:cs="Aptos"/>
          <w:szCs w:val="28"/>
          <w:lang w:val="en-GB" w:eastAsia="zh-CN" w:bidi="th-TH"/>
        </w:rPr>
      </w:pPr>
      <w:r w:rsidRPr="00BF31BB">
        <w:rPr>
          <w:rFonts w:ascii="Aptos" w:eastAsia="Aptos" w:hAnsi="Aptos" w:cs="Aptos"/>
          <w:szCs w:val="28"/>
          <w:lang w:val="en-GB" w:eastAsia="zh-CN" w:bidi="th-TH"/>
        </w:rPr>
        <w:t xml:space="preserve">Dragomir M, </w:t>
      </w:r>
      <w:proofErr w:type="spellStart"/>
      <w:r w:rsidRPr="00BF31BB">
        <w:rPr>
          <w:rFonts w:ascii="Aptos" w:eastAsia="Aptos" w:hAnsi="Aptos" w:cs="Aptos"/>
          <w:szCs w:val="28"/>
          <w:lang w:val="en-GB" w:eastAsia="zh-CN" w:bidi="th-TH"/>
        </w:rPr>
        <w:t>Rúas</w:t>
      </w:r>
      <w:proofErr w:type="spellEnd"/>
      <w:r w:rsidRPr="00BF31BB">
        <w:rPr>
          <w:rFonts w:ascii="Aptos" w:eastAsia="Aptos" w:hAnsi="Aptos" w:cs="Aptos"/>
          <w:szCs w:val="28"/>
          <w:lang w:val="en-GB" w:eastAsia="zh-CN" w:bidi="th-TH"/>
        </w:rPr>
        <w:t xml:space="preserve">-Araújo J and Horowitz M (2024) ‘Beyond online disinformation: Assessing national information resilience in four European countries’, </w:t>
      </w:r>
      <w:r w:rsidRPr="00BF31BB">
        <w:rPr>
          <w:rFonts w:ascii="Aptos" w:eastAsia="Aptos" w:hAnsi="Aptos" w:cs="Aptos"/>
          <w:i/>
          <w:iCs/>
          <w:szCs w:val="28"/>
          <w:lang w:val="en-GB" w:eastAsia="zh-CN" w:bidi="th-TH"/>
        </w:rPr>
        <w:t>Humanities and Social Sciences Communications</w:t>
      </w:r>
      <w:r w:rsidRPr="00BF31BB">
        <w:rPr>
          <w:rFonts w:ascii="Aptos" w:eastAsia="Aptos" w:hAnsi="Aptos" w:cs="Aptos"/>
          <w:szCs w:val="28"/>
          <w:lang w:val="en-GB" w:eastAsia="zh-CN" w:bidi="th-TH"/>
        </w:rPr>
        <w:t>, 11</w:t>
      </w:r>
      <w:r w:rsidR="00585A5F">
        <w:rPr>
          <w:rFonts w:ascii="Aptos" w:eastAsia="Aptos" w:hAnsi="Aptos" w:cs="Aptos"/>
          <w:szCs w:val="28"/>
          <w:lang w:val="en-GB" w:eastAsia="zh-CN" w:bidi="th-TH"/>
        </w:rPr>
        <w:t>:</w:t>
      </w:r>
      <w:r w:rsidRPr="00BF31BB">
        <w:rPr>
          <w:rFonts w:ascii="Aptos" w:eastAsia="Aptos" w:hAnsi="Aptos" w:cs="Aptos"/>
          <w:szCs w:val="28"/>
          <w:lang w:val="en-GB" w:eastAsia="zh-CN" w:bidi="th-TH"/>
        </w:rPr>
        <w:t xml:space="preserve"> 101, </w:t>
      </w:r>
      <w:r w:rsidR="00ED43A6">
        <w:rPr>
          <w:rFonts w:ascii="Aptos" w:eastAsia="Aptos" w:hAnsi="Aptos" w:cs="Aptos"/>
          <w:szCs w:val="28"/>
          <w:lang w:val="en-GB" w:eastAsia="zh-CN" w:bidi="th-TH"/>
        </w:rPr>
        <w:br/>
      </w:r>
      <w:hyperlink r:id="rId58" w:history="1">
        <w:r w:rsidR="00ED43A6" w:rsidRPr="000961D6">
          <w:rPr>
            <w:rStyle w:val="Hyperlink"/>
          </w:rPr>
          <w:t>https://doi.org/10.1057/s41599-024-02605-5</w:t>
        </w:r>
      </w:hyperlink>
      <w:r w:rsidR="00BF31BB">
        <w:t xml:space="preserve">. </w:t>
      </w:r>
    </w:p>
    <w:p w14:paraId="233400EB" w14:textId="025968D4" w:rsidR="00CE6B92" w:rsidRPr="00BF31BB" w:rsidRDefault="00CE6B92" w:rsidP="005D7D39">
      <w:pPr>
        <w:rPr>
          <w:rFonts w:ascii="Aptos" w:eastAsia="Aptos" w:hAnsi="Aptos" w:cs="Aptos"/>
          <w:szCs w:val="28"/>
          <w:lang w:val="en-GB" w:eastAsia="zh-CN" w:bidi="th-TH"/>
        </w:rPr>
      </w:pPr>
      <w:r w:rsidRPr="00BF31BB">
        <w:rPr>
          <w:rFonts w:ascii="Aptos" w:eastAsia="Aptos" w:hAnsi="Aptos" w:cs="Aptos"/>
          <w:szCs w:val="28"/>
          <w:lang w:val="en-GB" w:eastAsia="zh-CN" w:bidi="th-TH"/>
        </w:rPr>
        <w:t xml:space="preserve">Edelman Trust Institute (2025) </w:t>
      </w:r>
      <w:hyperlink r:id="rId59">
        <w:r w:rsidRPr="00D30452">
          <w:rPr>
            <w:rStyle w:val="Hyperlink"/>
            <w:i/>
            <w:iCs/>
            <w:lang w:val="en-GB" w:eastAsia="zh-CN" w:bidi="th-TH"/>
          </w:rPr>
          <w:t>2025 Edelman trust barometer: Global report</w:t>
        </w:r>
      </w:hyperlink>
      <w:r w:rsidR="00D30452">
        <w:rPr>
          <w:rFonts w:ascii="Aptos" w:eastAsia="Aptos" w:hAnsi="Aptos" w:cs="Aptos"/>
          <w:i/>
          <w:iCs/>
          <w:szCs w:val="28"/>
          <w:lang w:val="en-GB" w:eastAsia="zh-CN" w:bidi="th-TH"/>
        </w:rPr>
        <w:t xml:space="preserve"> </w:t>
      </w:r>
      <w:r w:rsidR="00D30452">
        <w:rPr>
          <w:rFonts w:ascii="Aptos" w:eastAsia="Aptos" w:hAnsi="Aptos" w:cs="Aptos"/>
          <w:szCs w:val="28"/>
          <w:lang w:val="en-GB" w:eastAsia="zh-CN" w:bidi="th-TH"/>
        </w:rPr>
        <w:t>[PDF],</w:t>
      </w:r>
      <w:r w:rsidRPr="00BF31BB">
        <w:rPr>
          <w:rFonts w:ascii="Aptos" w:eastAsia="Aptos" w:hAnsi="Aptos" w:cs="Aptos"/>
          <w:i/>
          <w:iCs/>
          <w:szCs w:val="28"/>
          <w:lang w:val="en-GB" w:eastAsia="zh-CN" w:bidi="th-TH"/>
        </w:rPr>
        <w:t xml:space="preserve"> </w:t>
      </w:r>
      <w:r w:rsidRPr="00BF31BB">
        <w:rPr>
          <w:rFonts w:ascii="Aptos" w:eastAsia="Aptos" w:hAnsi="Aptos" w:cs="Aptos"/>
          <w:szCs w:val="28"/>
          <w:lang w:val="en-GB" w:eastAsia="zh-CN" w:bidi="th-TH"/>
        </w:rPr>
        <w:t xml:space="preserve">Edelman Trust Institute, New York. </w:t>
      </w:r>
    </w:p>
    <w:p w14:paraId="1D1404C6" w14:textId="77777777"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Edmonds P (2016) </w:t>
      </w:r>
      <w:r w:rsidRPr="00CE6B92">
        <w:rPr>
          <w:rFonts w:ascii="Aptos" w:eastAsia="Aptos" w:hAnsi="Aptos" w:cs="Aptos"/>
          <w:i/>
          <w:iCs/>
          <w:szCs w:val="28"/>
          <w:lang w:val="en-GB" w:eastAsia="zh-CN" w:bidi="th-TH"/>
        </w:rPr>
        <w:t xml:space="preserve">Settler colonialism and (re)conciliation: Frontier violence, affective performances and imaginative </w:t>
      </w:r>
      <w:proofErr w:type="spellStart"/>
      <w:r w:rsidRPr="00CE6B92">
        <w:rPr>
          <w:rFonts w:ascii="Aptos" w:eastAsia="Aptos" w:hAnsi="Aptos" w:cs="Aptos"/>
          <w:i/>
          <w:iCs/>
          <w:szCs w:val="28"/>
          <w:lang w:val="en-GB" w:eastAsia="zh-CN" w:bidi="th-TH"/>
        </w:rPr>
        <w:t>refoundings</w:t>
      </w:r>
      <w:proofErr w:type="spellEnd"/>
      <w:r w:rsidRPr="00CE6B92">
        <w:rPr>
          <w:rFonts w:ascii="Aptos" w:eastAsia="Aptos" w:hAnsi="Aptos" w:cs="Aptos"/>
          <w:i/>
          <w:iCs/>
          <w:szCs w:val="28"/>
          <w:lang w:val="en-GB" w:eastAsia="zh-CN" w:bidi="th-TH"/>
        </w:rPr>
        <w:t xml:space="preserve">, </w:t>
      </w:r>
      <w:r w:rsidRPr="00CE6B92">
        <w:rPr>
          <w:rFonts w:ascii="Aptos" w:eastAsia="Aptos" w:hAnsi="Aptos" w:cs="Aptos"/>
          <w:szCs w:val="28"/>
          <w:lang w:val="en-GB" w:eastAsia="zh-CN" w:bidi="th-TH"/>
        </w:rPr>
        <w:t xml:space="preserve">Palgrave Macmillan, New York. </w:t>
      </w:r>
    </w:p>
    <w:p w14:paraId="2407EBC2" w14:textId="0FBA57E5"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Ercan, SA, McSwiney J, Balint P and </w:t>
      </w:r>
      <w:proofErr w:type="spellStart"/>
      <w:r w:rsidRPr="00CE6B92">
        <w:rPr>
          <w:rFonts w:ascii="Aptos" w:eastAsia="Aptos" w:hAnsi="Aptos" w:cs="Aptos"/>
          <w:szCs w:val="28"/>
          <w:lang w:val="en-GB" w:eastAsia="zh-CN" w:bidi="th-TH"/>
        </w:rPr>
        <w:t>Dryzek</w:t>
      </w:r>
      <w:proofErr w:type="spellEnd"/>
      <w:r w:rsidRPr="00CE6B92">
        <w:rPr>
          <w:rFonts w:ascii="Aptos" w:eastAsia="Aptos" w:hAnsi="Aptos" w:cs="Aptos"/>
          <w:szCs w:val="28"/>
          <w:lang w:val="en-GB" w:eastAsia="zh-CN" w:bidi="th-TH"/>
        </w:rPr>
        <w:t xml:space="preserve">, JS (2022) </w:t>
      </w:r>
      <w:hyperlink r:id="rId60">
        <w:r w:rsidRPr="00C352B7">
          <w:rPr>
            <w:rStyle w:val="Hyperlink"/>
            <w:i/>
            <w:iCs/>
          </w:rPr>
          <w:t>Building democratic resilience: Public sphere responses to violent extremism</w:t>
        </w:r>
      </w:hyperlink>
      <w:r w:rsidR="00C352B7">
        <w:rPr>
          <w:rFonts w:ascii="Aptos" w:eastAsia="Aptos" w:hAnsi="Aptos" w:cs="Aptos"/>
          <w:szCs w:val="28"/>
          <w:lang w:val="en-GB" w:eastAsia="zh-CN" w:bidi="th-TH"/>
        </w:rPr>
        <w:t xml:space="preserve"> [PDF],</w:t>
      </w:r>
      <w:r w:rsidRPr="00CE6B92">
        <w:rPr>
          <w:rFonts w:ascii="Aptos" w:eastAsia="Aptos" w:hAnsi="Aptos" w:cs="Aptos"/>
          <w:szCs w:val="28"/>
          <w:lang w:val="en-GB" w:eastAsia="zh-CN" w:bidi="th-TH"/>
        </w:rPr>
        <w:t xml:space="preserve"> Department of Premier and Cabinet, NSW Government, Sydney. </w:t>
      </w:r>
    </w:p>
    <w:p w14:paraId="5EEC446C" w14:textId="62F722EB"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Evans M (2021)</w:t>
      </w:r>
      <w:hyperlink r:id="rId61">
        <w:r w:rsidRPr="00CE6B92">
          <w:rPr>
            <w:rFonts w:ascii="Aptos" w:eastAsia="Aptos" w:hAnsi="Aptos" w:cs="Aptos"/>
            <w:szCs w:val="28"/>
            <w:u w:val="single"/>
            <w:lang w:val="en-GB" w:eastAsia="zh-CN" w:bidi="th-TH"/>
          </w:rPr>
          <w:t xml:space="preserve"> </w:t>
        </w:r>
      </w:hyperlink>
      <w:hyperlink r:id="rId62">
        <w:r w:rsidRPr="008A3E9C">
          <w:rPr>
            <w:rStyle w:val="Hyperlink"/>
            <w:i/>
            <w:iCs/>
          </w:rPr>
          <w:t>Guardians of our civic culture: What museums could and should do</w:t>
        </w:r>
      </w:hyperlink>
      <w:r w:rsidR="003E5492">
        <w:rPr>
          <w:rFonts w:ascii="Aptos" w:eastAsia="Aptos" w:hAnsi="Aptos" w:cs="Aptos"/>
          <w:szCs w:val="28"/>
          <w:lang w:val="en-GB" w:eastAsia="zh-CN" w:bidi="th-TH"/>
        </w:rPr>
        <w:t xml:space="preserve"> [PDF],</w:t>
      </w:r>
      <w:r w:rsidRPr="00CE6B92">
        <w:rPr>
          <w:rFonts w:ascii="Aptos" w:eastAsia="Aptos" w:hAnsi="Aptos" w:cs="Aptos"/>
          <w:szCs w:val="28"/>
          <w:lang w:val="en-GB" w:eastAsia="zh-CN" w:bidi="th-TH"/>
        </w:rPr>
        <w:t xml:space="preserve"> Ipsos Public Affairs, Melbourne. </w:t>
      </w:r>
    </w:p>
    <w:p w14:paraId="2909BFFF" w14:textId="77777777"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Evans M, Dunleavy P and Phillimore J (2024)</w:t>
      </w:r>
      <w:r w:rsidRPr="00CE6B92">
        <w:rPr>
          <w:rFonts w:ascii="Aptos" w:eastAsia="Aptos" w:hAnsi="Aptos" w:cs="Aptos"/>
          <w:i/>
          <w:iCs/>
          <w:szCs w:val="28"/>
          <w:lang w:val="en-GB" w:eastAsia="zh-CN" w:bidi="th-TH"/>
        </w:rPr>
        <w:t xml:space="preserve"> Australia’s evolving democracy: A new democratic audit, </w:t>
      </w:r>
      <w:r w:rsidRPr="008814DA">
        <w:rPr>
          <w:rFonts w:ascii="Aptos" w:eastAsia="Aptos" w:hAnsi="Aptos" w:cs="Aptos"/>
          <w:szCs w:val="28"/>
          <w:lang w:val="en-GB" w:eastAsia="zh-CN" w:bidi="th-TH"/>
        </w:rPr>
        <w:t>LSE P</w:t>
      </w:r>
      <w:r w:rsidRPr="00CE6B92">
        <w:rPr>
          <w:rFonts w:ascii="Aptos" w:eastAsia="Aptos" w:hAnsi="Aptos" w:cs="Aptos"/>
          <w:szCs w:val="28"/>
          <w:lang w:val="en-GB" w:eastAsia="zh-CN" w:bidi="th-TH"/>
        </w:rPr>
        <w:t xml:space="preserve">ress, London. </w:t>
      </w:r>
    </w:p>
    <w:p w14:paraId="76176E87" w14:textId="16EFE0FF" w:rsidR="00CE6B92" w:rsidRPr="00CE6B92" w:rsidRDefault="00CE6B92" w:rsidP="005D7D39">
      <w:pPr>
        <w:shd w:val="clear" w:color="auto" w:fill="FFFFFF"/>
        <w:rPr>
          <w:rFonts w:ascii="Aptos" w:eastAsia="Aptos" w:hAnsi="Aptos" w:cs="Aptos"/>
          <w:szCs w:val="28"/>
          <w:lang w:val="en-GB" w:eastAsia="zh-CN" w:bidi="th-TH"/>
        </w:rPr>
      </w:pPr>
      <w:r w:rsidRPr="00CE6B92">
        <w:rPr>
          <w:rFonts w:ascii="Aptos" w:eastAsia="Aptos" w:hAnsi="Aptos" w:cs="Aptos"/>
          <w:szCs w:val="28"/>
          <w:lang w:val="en-GB" w:eastAsia="zh-CN" w:bidi="th-TH"/>
        </w:rPr>
        <w:t>Fielding K and Trembath JL (2020</w:t>
      </w:r>
      <w:r w:rsidRPr="003E5492">
        <w:rPr>
          <w:rFonts w:ascii="Aptos" w:eastAsia="Aptos" w:hAnsi="Aptos" w:cs="Aptos"/>
          <w:i/>
          <w:iCs/>
          <w:szCs w:val="28"/>
          <w:lang w:val="en-GB" w:eastAsia="zh-CN" w:bidi="th-TH"/>
        </w:rPr>
        <w:t>)</w:t>
      </w:r>
      <w:r w:rsidRPr="003E5492">
        <w:t xml:space="preserve"> </w:t>
      </w:r>
      <w:hyperlink r:id="rId63">
        <w:r w:rsidRPr="003E5492">
          <w:rPr>
            <w:rStyle w:val="Hyperlink"/>
            <w:i/>
            <w:iCs/>
          </w:rPr>
          <w:t>A view from middle Australia: Perceptions of arts, culture and creativity</w:t>
        </w:r>
      </w:hyperlink>
      <w:r w:rsidR="003E5492">
        <w:rPr>
          <w:rFonts w:ascii="Aptos" w:eastAsia="Aptos" w:hAnsi="Aptos" w:cs="Aptos"/>
          <w:szCs w:val="28"/>
          <w:lang w:val="en-GB" w:eastAsia="zh-CN" w:bidi="th-TH"/>
        </w:rPr>
        <w:t xml:space="preserve"> [PDF],</w:t>
      </w:r>
      <w:r w:rsidRPr="00CE6B92">
        <w:rPr>
          <w:rFonts w:ascii="Aptos" w:eastAsia="Aptos" w:hAnsi="Aptos" w:cs="Aptos"/>
          <w:szCs w:val="28"/>
          <w:lang w:val="en-GB" w:eastAsia="zh-CN" w:bidi="th-TH"/>
        </w:rPr>
        <w:t xml:space="preserve"> A New Approach, Canberra</w:t>
      </w:r>
      <w:r w:rsidR="008A3E9C">
        <w:rPr>
          <w:rFonts w:ascii="Aptos" w:eastAsia="Aptos" w:hAnsi="Aptos" w:cs="Aptos"/>
          <w:szCs w:val="28"/>
          <w:lang w:val="en-GB" w:eastAsia="zh-CN" w:bidi="th-TH"/>
        </w:rPr>
        <w:t>.</w:t>
      </w:r>
    </w:p>
    <w:p w14:paraId="7BF82986" w14:textId="77777777"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Fielding K, Sidhu A and Vivian A (2023) </w:t>
      </w:r>
      <w:hyperlink r:id="rId64">
        <w:r w:rsidRPr="00D215A3">
          <w:rPr>
            <w:rStyle w:val="Hyperlink"/>
            <w:i/>
            <w:iCs/>
          </w:rPr>
          <w:t>Intergenerational arts and culture: Lessons across middle Australia</w:t>
        </w:r>
      </w:hyperlink>
      <w:r w:rsidRPr="00CE6B92">
        <w:rPr>
          <w:rFonts w:ascii="Aptos" w:eastAsia="Aptos" w:hAnsi="Aptos" w:cs="Aptos"/>
          <w:szCs w:val="28"/>
          <w:lang w:val="en-GB" w:eastAsia="zh-CN" w:bidi="th-TH"/>
        </w:rPr>
        <w:t xml:space="preserve">, A New Approach, Canberra. </w:t>
      </w:r>
    </w:p>
    <w:p w14:paraId="7A5DFCE0" w14:textId="77777777"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Foley G (2013) ‘A reflection on the first thirty days of the Embassy’, in Foley G, Schaap A and Howell E (eds) </w:t>
      </w:r>
      <w:r w:rsidRPr="00CE6B92">
        <w:rPr>
          <w:rFonts w:ascii="Aptos" w:eastAsia="Aptos" w:hAnsi="Aptos" w:cs="Aptos"/>
          <w:i/>
          <w:iCs/>
          <w:szCs w:val="28"/>
          <w:lang w:val="en-GB" w:eastAsia="zh-CN" w:bidi="th-TH"/>
        </w:rPr>
        <w:t>The Aboriginal Tent Embassy: Sovereignty, black power, land rights and the state,</w:t>
      </w:r>
      <w:r w:rsidRPr="00CE6B92">
        <w:rPr>
          <w:rFonts w:ascii="Aptos" w:eastAsia="Aptos" w:hAnsi="Aptos" w:cs="Aptos"/>
          <w:szCs w:val="28"/>
          <w:lang w:val="en-GB" w:eastAsia="zh-CN" w:bidi="th-TH"/>
        </w:rPr>
        <w:t xml:space="preserve"> Routledge, London. </w:t>
      </w:r>
    </w:p>
    <w:p w14:paraId="02BB1FAE" w14:textId="7A039C6D"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Fraser T and Aldrich DP (2021) ‘The dual effect of social ties on COVID-19 spread in Japan’, </w:t>
      </w:r>
      <w:r w:rsidRPr="00CE6B92">
        <w:rPr>
          <w:rFonts w:ascii="Aptos" w:eastAsia="Aptos" w:hAnsi="Aptos" w:cs="Aptos"/>
          <w:i/>
          <w:iCs/>
          <w:szCs w:val="28"/>
          <w:lang w:val="en-GB" w:eastAsia="zh-CN" w:bidi="th-TH"/>
        </w:rPr>
        <w:t xml:space="preserve">Scientific Reports, </w:t>
      </w:r>
      <w:r w:rsidRPr="00CE6B92">
        <w:rPr>
          <w:rFonts w:ascii="Aptos" w:eastAsia="Aptos" w:hAnsi="Aptos" w:cs="Aptos"/>
          <w:szCs w:val="28"/>
          <w:lang w:val="en-GB" w:eastAsia="zh-CN" w:bidi="th-TH"/>
        </w:rPr>
        <w:t>11</w:t>
      </w:r>
      <w:r w:rsidR="00916F10">
        <w:rPr>
          <w:rFonts w:ascii="Aptos" w:eastAsia="Aptos" w:hAnsi="Aptos" w:cs="Aptos"/>
          <w:szCs w:val="28"/>
          <w:lang w:val="en-GB" w:eastAsia="zh-CN" w:bidi="th-TH"/>
        </w:rPr>
        <w:t>:</w:t>
      </w:r>
      <w:r w:rsidRPr="00CE6B92">
        <w:rPr>
          <w:rFonts w:ascii="Aptos" w:eastAsia="Aptos" w:hAnsi="Aptos" w:cs="Aptos"/>
          <w:szCs w:val="28"/>
          <w:lang w:val="en-GB" w:eastAsia="zh-CN" w:bidi="th-TH"/>
        </w:rPr>
        <w:t xml:space="preserve">1596, </w:t>
      </w:r>
      <w:hyperlink r:id="rId65" w:history="1">
        <w:r w:rsidR="00245A7F" w:rsidRPr="00FB763F">
          <w:rPr>
            <w:rStyle w:val="Hyperlink"/>
          </w:rPr>
          <w:t>https://doi.org/10.1038/s41598-021-81001-4</w:t>
        </w:r>
      </w:hyperlink>
      <w:r w:rsidRPr="00CE6B92">
        <w:rPr>
          <w:rFonts w:ascii="Aptos" w:eastAsia="Aptos" w:hAnsi="Aptos" w:cs="Aptos"/>
          <w:szCs w:val="28"/>
          <w:lang w:val="en-GB" w:eastAsia="zh-CN" w:bidi="th-TH"/>
        </w:rPr>
        <w:t>.</w:t>
      </w:r>
      <w:r w:rsidR="00245A7F">
        <w:rPr>
          <w:rFonts w:ascii="Aptos" w:eastAsia="Aptos" w:hAnsi="Aptos" w:cs="Aptos"/>
          <w:szCs w:val="28"/>
          <w:lang w:val="en-GB" w:eastAsia="zh-CN" w:bidi="th-TH"/>
        </w:rPr>
        <w:t xml:space="preserve"> </w:t>
      </w:r>
      <w:r w:rsidRPr="00CE6B92">
        <w:rPr>
          <w:rFonts w:ascii="Aptos" w:eastAsia="Aptos" w:hAnsi="Aptos" w:cs="Aptos"/>
          <w:szCs w:val="28"/>
          <w:lang w:val="en-GB" w:eastAsia="zh-CN" w:bidi="th-TH"/>
        </w:rPr>
        <w:t xml:space="preserve"> </w:t>
      </w:r>
    </w:p>
    <w:p w14:paraId="5FBB04E4" w14:textId="0271EB78"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Fraser T, Aldrich DP </w:t>
      </w:r>
      <w:r w:rsidR="00F24BE7">
        <w:rPr>
          <w:rFonts w:ascii="Aptos" w:eastAsia="Aptos" w:hAnsi="Aptos" w:cs="Aptos"/>
          <w:szCs w:val="28"/>
          <w:lang w:val="en-GB" w:eastAsia="zh-CN" w:bidi="th-TH"/>
        </w:rPr>
        <w:t>a</w:t>
      </w:r>
      <w:r w:rsidRPr="00CE6B92">
        <w:rPr>
          <w:rFonts w:ascii="Aptos" w:eastAsia="Aptos" w:hAnsi="Aptos" w:cs="Aptos"/>
          <w:szCs w:val="28"/>
          <w:lang w:val="en-GB" w:eastAsia="zh-CN" w:bidi="th-TH"/>
        </w:rPr>
        <w:t>nd Page-Tan (2021) ‘Bowling alone or distancing together? The</w:t>
      </w:r>
      <w:r w:rsidR="00EA5229">
        <w:rPr>
          <w:rFonts w:ascii="Aptos" w:eastAsia="Aptos" w:hAnsi="Aptos" w:cs="Aptos"/>
          <w:szCs w:val="28"/>
          <w:lang w:val="en-GB" w:eastAsia="zh-CN" w:bidi="th-TH"/>
        </w:rPr>
        <w:t> </w:t>
      </w:r>
      <w:r w:rsidRPr="00CE6B92">
        <w:rPr>
          <w:rFonts w:ascii="Aptos" w:eastAsia="Aptos" w:hAnsi="Aptos" w:cs="Aptos"/>
          <w:szCs w:val="28"/>
          <w:lang w:val="en-GB" w:eastAsia="zh-CN" w:bidi="th-TH"/>
        </w:rPr>
        <w:t xml:space="preserve">role of social capital in excess death rates from COVID-19', </w:t>
      </w:r>
      <w:r w:rsidRPr="00CE6B92">
        <w:rPr>
          <w:rFonts w:ascii="Aptos" w:eastAsia="Aptos" w:hAnsi="Aptos" w:cs="Aptos"/>
          <w:i/>
          <w:iCs/>
          <w:szCs w:val="28"/>
          <w:lang w:val="en-GB" w:eastAsia="zh-CN" w:bidi="th-TH"/>
        </w:rPr>
        <w:t xml:space="preserve">Social Science &amp; Medicine, </w:t>
      </w:r>
      <w:r w:rsidRPr="00CE6B92">
        <w:rPr>
          <w:rFonts w:ascii="Aptos" w:eastAsia="Aptos" w:hAnsi="Aptos" w:cs="Aptos"/>
          <w:szCs w:val="28"/>
          <w:lang w:val="en-GB" w:eastAsia="zh-CN" w:bidi="th-TH"/>
        </w:rPr>
        <w:t>284</w:t>
      </w:r>
      <w:r w:rsidR="00D27477">
        <w:rPr>
          <w:rFonts w:ascii="Aptos" w:eastAsia="Aptos" w:hAnsi="Aptos" w:cs="Aptos"/>
          <w:szCs w:val="28"/>
          <w:lang w:val="en-GB" w:eastAsia="zh-CN" w:bidi="th-TH"/>
        </w:rPr>
        <w:t>:</w:t>
      </w:r>
      <w:r w:rsidR="00916F10">
        <w:rPr>
          <w:rFonts w:ascii="Aptos" w:eastAsia="Aptos" w:hAnsi="Aptos" w:cs="Aptos"/>
          <w:szCs w:val="28"/>
          <w:lang w:val="en-GB" w:eastAsia="zh-CN" w:bidi="th-TH"/>
        </w:rPr>
        <w:t xml:space="preserve"> 114</w:t>
      </w:r>
      <w:r w:rsidR="00D27477">
        <w:rPr>
          <w:rFonts w:ascii="Aptos" w:eastAsia="Aptos" w:hAnsi="Aptos" w:cs="Aptos"/>
          <w:szCs w:val="28"/>
          <w:lang w:val="en-GB" w:eastAsia="zh-CN" w:bidi="th-TH"/>
        </w:rPr>
        <w:t>241</w:t>
      </w:r>
      <w:r w:rsidRPr="00CE6B92">
        <w:rPr>
          <w:rFonts w:ascii="Aptos" w:eastAsia="Aptos" w:hAnsi="Aptos" w:cs="Aptos"/>
          <w:szCs w:val="28"/>
          <w:lang w:val="en-GB" w:eastAsia="zh-CN" w:bidi="th-TH"/>
        </w:rPr>
        <w:t xml:space="preserve">, </w:t>
      </w:r>
      <w:hyperlink r:id="rId66" w:history="1">
        <w:r w:rsidR="00916F10" w:rsidRPr="00FB763F">
          <w:rPr>
            <w:rStyle w:val="Hyperlink"/>
          </w:rPr>
          <w:t>https://doi.org/10.1016/j.socscimed.2021.114241</w:t>
        </w:r>
      </w:hyperlink>
      <w:r w:rsidRPr="00CE6B92">
        <w:rPr>
          <w:rFonts w:ascii="Aptos" w:eastAsia="Aptos" w:hAnsi="Aptos" w:cs="Aptos"/>
          <w:szCs w:val="28"/>
          <w:lang w:val="en-GB" w:eastAsia="zh-CN" w:bidi="th-TH"/>
        </w:rPr>
        <w:t>.</w:t>
      </w:r>
      <w:r w:rsidR="00916F10">
        <w:rPr>
          <w:rFonts w:ascii="Aptos" w:eastAsia="Aptos" w:hAnsi="Aptos" w:cs="Aptos"/>
          <w:szCs w:val="28"/>
          <w:lang w:val="en-GB" w:eastAsia="zh-CN" w:bidi="th-TH"/>
        </w:rPr>
        <w:t xml:space="preserve"> </w:t>
      </w:r>
      <w:r w:rsidRPr="00CE6B92">
        <w:rPr>
          <w:rFonts w:ascii="Aptos" w:eastAsia="Aptos" w:hAnsi="Aptos" w:cs="Aptos"/>
          <w:szCs w:val="28"/>
          <w:lang w:val="en-GB" w:eastAsia="zh-CN" w:bidi="th-TH"/>
        </w:rPr>
        <w:t xml:space="preserve"> </w:t>
      </w:r>
    </w:p>
    <w:p w14:paraId="24B77EE4" w14:textId="5EB53F3D"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Fraser T, </w:t>
      </w:r>
      <w:proofErr w:type="spellStart"/>
      <w:r w:rsidRPr="00CE6B92">
        <w:rPr>
          <w:rFonts w:ascii="Aptos" w:eastAsia="Aptos" w:hAnsi="Aptos" w:cs="Aptos"/>
          <w:szCs w:val="28"/>
          <w:lang w:val="en-GB" w:eastAsia="zh-CN" w:bidi="th-TH"/>
        </w:rPr>
        <w:t>Cherdchaiyapong</w:t>
      </w:r>
      <w:proofErr w:type="spellEnd"/>
      <w:r w:rsidRPr="00CE6B92">
        <w:rPr>
          <w:rFonts w:ascii="Aptos" w:eastAsia="Aptos" w:hAnsi="Aptos" w:cs="Aptos"/>
          <w:szCs w:val="28"/>
          <w:lang w:val="en-GB" w:eastAsia="zh-CN" w:bidi="th-TH"/>
        </w:rPr>
        <w:t xml:space="preserve"> N, Tekle W, Thomas E, Zayas J, Page-Tan C and Aldrich DP (2022) ‘Trust but verify: Validating new measures for mapping social infrastructure in cities’, </w:t>
      </w:r>
      <w:r w:rsidRPr="00CE6B92">
        <w:rPr>
          <w:rFonts w:ascii="Aptos" w:eastAsia="Aptos" w:hAnsi="Aptos" w:cs="Aptos"/>
          <w:i/>
          <w:iCs/>
          <w:szCs w:val="28"/>
          <w:lang w:val="en-GB" w:eastAsia="zh-CN" w:bidi="th-TH"/>
        </w:rPr>
        <w:t>Urban Climate,</w:t>
      </w:r>
      <w:r w:rsidRPr="00CE6B92">
        <w:rPr>
          <w:rFonts w:ascii="Aptos" w:eastAsia="Aptos" w:hAnsi="Aptos" w:cs="Aptos"/>
          <w:szCs w:val="28"/>
          <w:lang w:val="en-GB" w:eastAsia="zh-CN" w:bidi="th-TH"/>
        </w:rPr>
        <w:t xml:space="preserve"> 46</w:t>
      </w:r>
      <w:r w:rsidR="00D27477">
        <w:rPr>
          <w:rFonts w:ascii="Aptos" w:eastAsia="Aptos" w:hAnsi="Aptos" w:cs="Aptos"/>
          <w:szCs w:val="28"/>
          <w:lang w:val="en-GB" w:eastAsia="zh-CN" w:bidi="th-TH"/>
        </w:rPr>
        <w:t xml:space="preserve">: </w:t>
      </w:r>
      <w:r w:rsidRPr="00CE6B92">
        <w:rPr>
          <w:rFonts w:ascii="Aptos" w:eastAsia="Aptos" w:hAnsi="Aptos" w:cs="Aptos"/>
          <w:szCs w:val="28"/>
          <w:lang w:val="en-GB" w:eastAsia="zh-CN" w:bidi="th-TH"/>
        </w:rPr>
        <w:t xml:space="preserve">101287, </w:t>
      </w:r>
      <w:hyperlink r:id="rId67" w:history="1">
        <w:r w:rsidR="00D27477" w:rsidRPr="00FB763F">
          <w:rPr>
            <w:rStyle w:val="Hyperlink"/>
          </w:rPr>
          <w:t>https://doi.org/10.1016/j.uclim.2022.101287</w:t>
        </w:r>
      </w:hyperlink>
      <w:r w:rsidRPr="00CE6B92">
        <w:rPr>
          <w:rFonts w:ascii="Aptos" w:eastAsia="Aptos" w:hAnsi="Aptos" w:cs="Aptos"/>
          <w:szCs w:val="28"/>
          <w:lang w:val="en-GB" w:eastAsia="zh-CN" w:bidi="th-TH"/>
        </w:rPr>
        <w:t>.</w:t>
      </w:r>
      <w:r w:rsidR="00D27477">
        <w:rPr>
          <w:rFonts w:ascii="Aptos" w:eastAsia="Aptos" w:hAnsi="Aptos" w:cs="Aptos"/>
          <w:szCs w:val="28"/>
          <w:lang w:val="en-GB" w:eastAsia="zh-CN" w:bidi="th-TH"/>
        </w:rPr>
        <w:t xml:space="preserve"> </w:t>
      </w:r>
    </w:p>
    <w:p w14:paraId="2E8BB610" w14:textId="094C6AFD"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Fredericks B, Bradfield A, McAvoy S, Ward J, </w:t>
      </w:r>
      <w:proofErr w:type="spellStart"/>
      <w:r w:rsidRPr="00CE6B92">
        <w:rPr>
          <w:rFonts w:ascii="Aptos" w:eastAsia="Aptos" w:hAnsi="Aptos" w:cs="Aptos"/>
          <w:szCs w:val="28"/>
          <w:lang w:val="en-GB" w:eastAsia="zh-CN" w:bidi="th-TH"/>
        </w:rPr>
        <w:t>Spierings</w:t>
      </w:r>
      <w:proofErr w:type="spellEnd"/>
      <w:r w:rsidRPr="00CE6B92">
        <w:rPr>
          <w:rFonts w:ascii="Aptos" w:eastAsia="Aptos" w:hAnsi="Aptos" w:cs="Aptos"/>
          <w:szCs w:val="28"/>
          <w:lang w:val="en-GB" w:eastAsia="zh-CN" w:bidi="th-TH"/>
        </w:rPr>
        <w:t xml:space="preserve"> S, Combo T and Toth-Peter A (2023) ‘The burden of the beast: Countering conspiracies and misinformation within </w:t>
      </w:r>
      <w:r w:rsidRPr="00CE6B92">
        <w:rPr>
          <w:rFonts w:ascii="Aptos" w:eastAsia="Aptos" w:hAnsi="Aptos" w:cs="Aptos"/>
          <w:szCs w:val="28"/>
          <w:lang w:val="en-GB" w:eastAsia="zh-CN" w:bidi="th-TH"/>
        </w:rPr>
        <w:lastRenderedPageBreak/>
        <w:t xml:space="preserve">Indigenous communities in Australia’, </w:t>
      </w:r>
      <w:r w:rsidRPr="00CE6B92">
        <w:rPr>
          <w:rFonts w:ascii="Aptos" w:eastAsia="Aptos" w:hAnsi="Aptos" w:cs="Aptos"/>
          <w:i/>
          <w:iCs/>
          <w:szCs w:val="28"/>
          <w:lang w:val="en-GB" w:eastAsia="zh-CN" w:bidi="th-TH"/>
        </w:rPr>
        <w:t>M/C Journal</w:t>
      </w:r>
      <w:r w:rsidRPr="00CE6B92">
        <w:rPr>
          <w:rFonts w:ascii="Aptos" w:eastAsia="Aptos" w:hAnsi="Aptos" w:cs="Aptos"/>
          <w:szCs w:val="28"/>
          <w:lang w:val="en-GB" w:eastAsia="zh-CN" w:bidi="th-TH"/>
        </w:rPr>
        <w:t xml:space="preserve">, 25(1), </w:t>
      </w:r>
      <w:hyperlink r:id="rId68" w:history="1">
        <w:r w:rsidR="00CA52C7" w:rsidRPr="00FB763F">
          <w:rPr>
            <w:rStyle w:val="Hyperlink"/>
          </w:rPr>
          <w:t>https://doi.org/10.5204/mcj.2862</w:t>
        </w:r>
      </w:hyperlink>
      <w:r w:rsidRPr="00CE6B92">
        <w:rPr>
          <w:rFonts w:ascii="Aptos" w:eastAsia="Aptos" w:hAnsi="Aptos" w:cs="Aptos"/>
          <w:szCs w:val="28"/>
          <w:lang w:val="en-GB" w:eastAsia="zh-CN" w:bidi="th-TH"/>
        </w:rPr>
        <w:t>.</w:t>
      </w:r>
      <w:r w:rsidR="00CA52C7">
        <w:rPr>
          <w:rFonts w:ascii="Aptos" w:eastAsia="Aptos" w:hAnsi="Aptos" w:cs="Aptos"/>
          <w:szCs w:val="28"/>
          <w:lang w:val="en-GB" w:eastAsia="zh-CN" w:bidi="th-TH"/>
        </w:rPr>
        <w:t xml:space="preserve"> </w:t>
      </w:r>
      <w:r w:rsidRPr="00CE6B92">
        <w:rPr>
          <w:rFonts w:ascii="Aptos" w:eastAsia="Aptos" w:hAnsi="Aptos" w:cs="Aptos"/>
          <w:szCs w:val="28"/>
          <w:lang w:val="en-GB" w:eastAsia="zh-CN" w:bidi="th-TH"/>
        </w:rPr>
        <w:t xml:space="preserve"> </w:t>
      </w:r>
    </w:p>
    <w:p w14:paraId="40D4575C" w14:textId="65E8E5A5" w:rsidR="00CE6B92" w:rsidRPr="00CE6B92" w:rsidRDefault="00CE6B92" w:rsidP="005D7D39">
      <w:pPr>
        <w:shd w:val="clear" w:color="auto" w:fill="FFFFFF"/>
        <w:rPr>
          <w:rFonts w:ascii="Aptos" w:eastAsia="Aptos" w:hAnsi="Aptos" w:cs="Aptos"/>
          <w:szCs w:val="28"/>
          <w:lang w:val="en-GB" w:eastAsia="zh-CN" w:bidi="th-TH"/>
        </w:rPr>
      </w:pPr>
      <w:proofErr w:type="spellStart"/>
      <w:r w:rsidRPr="00CE6B92">
        <w:rPr>
          <w:rFonts w:ascii="Aptos" w:eastAsia="Aptos" w:hAnsi="Aptos" w:cs="Aptos"/>
          <w:szCs w:val="28"/>
          <w:lang w:val="en-GB" w:eastAsia="zh-CN" w:bidi="th-TH"/>
        </w:rPr>
        <w:t>Gattenhof</w:t>
      </w:r>
      <w:proofErr w:type="spellEnd"/>
      <w:r w:rsidRPr="00CE6B92">
        <w:rPr>
          <w:rFonts w:ascii="Aptos" w:eastAsia="Aptos" w:hAnsi="Aptos" w:cs="Aptos"/>
          <w:szCs w:val="28"/>
          <w:lang w:val="en-GB" w:eastAsia="zh-CN" w:bidi="th-TH"/>
        </w:rPr>
        <w:t xml:space="preserve"> S, Hancox D, </w:t>
      </w:r>
      <w:proofErr w:type="spellStart"/>
      <w:r w:rsidRPr="00CE6B92">
        <w:rPr>
          <w:rFonts w:ascii="Aptos" w:eastAsia="Aptos" w:hAnsi="Aptos" w:cs="Aptos"/>
          <w:szCs w:val="28"/>
          <w:lang w:val="en-GB" w:eastAsia="zh-CN" w:bidi="th-TH"/>
        </w:rPr>
        <w:t>Klaebe</w:t>
      </w:r>
      <w:proofErr w:type="spellEnd"/>
      <w:r w:rsidRPr="00CE6B92">
        <w:rPr>
          <w:rFonts w:ascii="Aptos" w:eastAsia="Aptos" w:hAnsi="Aptos" w:cs="Aptos"/>
          <w:szCs w:val="28"/>
          <w:lang w:val="en-GB" w:eastAsia="zh-CN" w:bidi="th-TH"/>
        </w:rPr>
        <w:t xml:space="preserve"> H and Mackay S (2023)</w:t>
      </w:r>
      <w:r w:rsidRPr="00CE6B92">
        <w:rPr>
          <w:rFonts w:ascii="Aptos" w:eastAsia="Aptos" w:hAnsi="Aptos" w:cs="Aptos"/>
          <w:i/>
          <w:iCs/>
          <w:szCs w:val="28"/>
          <w:lang w:val="en-GB" w:eastAsia="zh-CN" w:bidi="th-TH"/>
        </w:rPr>
        <w:t xml:space="preserve"> </w:t>
      </w:r>
      <w:hyperlink r:id="rId69">
        <w:r w:rsidRPr="00DB3BFB">
          <w:rPr>
            <w:rStyle w:val="Hyperlink"/>
            <w:i/>
            <w:iCs/>
          </w:rPr>
          <w:t>The role of the creative arts in regional Australia: A social impact model</w:t>
        </w:r>
      </w:hyperlink>
      <w:r w:rsidR="00E87E38">
        <w:rPr>
          <w:rFonts w:ascii="Aptos" w:eastAsia="Aptos" w:hAnsi="Aptos" w:cs="Aptos"/>
          <w:szCs w:val="28"/>
          <w:lang w:val="en-GB" w:eastAsia="zh-CN" w:bidi="th-TH"/>
        </w:rPr>
        <w:t>,</w:t>
      </w:r>
      <w:r w:rsidR="00ED43A6">
        <w:rPr>
          <w:rFonts w:ascii="Aptos" w:eastAsia="Aptos" w:hAnsi="Aptos" w:cs="Aptos"/>
          <w:szCs w:val="28"/>
          <w:lang w:val="en-GB" w:eastAsia="zh-CN" w:bidi="th-TH"/>
        </w:rPr>
        <w:t xml:space="preserve"> </w:t>
      </w:r>
      <w:r w:rsidRPr="00CE6B92">
        <w:rPr>
          <w:rFonts w:ascii="Aptos" w:eastAsia="Aptos" w:hAnsi="Aptos" w:cs="Aptos"/>
          <w:szCs w:val="28"/>
          <w:lang w:val="en-GB" w:eastAsia="zh-CN" w:bidi="th-TH"/>
        </w:rPr>
        <w:t>Australian Research Council Linkage Report, Queensland University of Technology, Brisbane.</w:t>
      </w:r>
    </w:p>
    <w:p w14:paraId="2D282C34" w14:textId="77777777"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Ghazarian Z and Laughland-</w:t>
      </w:r>
      <w:proofErr w:type="spellStart"/>
      <w:r w:rsidRPr="00CE6B92">
        <w:rPr>
          <w:rFonts w:ascii="Aptos" w:eastAsia="Aptos" w:hAnsi="Aptos" w:cs="Aptos"/>
          <w:szCs w:val="28"/>
          <w:lang w:val="en-GB" w:eastAsia="zh-CN" w:bidi="th-TH"/>
        </w:rPr>
        <w:t>Booÿ</w:t>
      </w:r>
      <w:proofErr w:type="spellEnd"/>
      <w:r w:rsidRPr="00CE6B92">
        <w:rPr>
          <w:rFonts w:ascii="Aptos" w:eastAsia="Aptos" w:hAnsi="Aptos" w:cs="Aptos"/>
          <w:szCs w:val="28"/>
          <w:lang w:val="en-GB" w:eastAsia="zh-CN" w:bidi="th-TH"/>
        </w:rPr>
        <w:t xml:space="preserve"> J (2021) ‘Becoming an informed voter: Compulsory voting and developing political knowledge in Australia’, in </w:t>
      </w:r>
      <w:proofErr w:type="spellStart"/>
      <w:r w:rsidRPr="00CE6B92">
        <w:rPr>
          <w:rFonts w:ascii="Aptos" w:eastAsia="Aptos" w:hAnsi="Aptos" w:cs="Aptos"/>
          <w:szCs w:val="28"/>
          <w:lang w:val="en-GB" w:eastAsia="zh-CN" w:bidi="th-TH"/>
        </w:rPr>
        <w:t>Bonotti</w:t>
      </w:r>
      <w:proofErr w:type="spellEnd"/>
      <w:r w:rsidRPr="00CE6B92">
        <w:rPr>
          <w:rFonts w:ascii="Aptos" w:eastAsia="Aptos" w:hAnsi="Aptos" w:cs="Aptos"/>
          <w:szCs w:val="28"/>
          <w:lang w:val="en-GB" w:eastAsia="zh-CN" w:bidi="th-TH"/>
        </w:rPr>
        <w:t xml:space="preserve"> M and Strangio P (eds) </w:t>
      </w:r>
      <w:r w:rsidRPr="00CE6B92">
        <w:rPr>
          <w:rFonts w:ascii="Aptos" w:eastAsia="Aptos" w:hAnsi="Aptos" w:cs="Aptos"/>
          <w:i/>
          <w:iCs/>
          <w:szCs w:val="28"/>
          <w:lang w:val="en-GB" w:eastAsia="zh-CN" w:bidi="th-TH"/>
        </w:rPr>
        <w:t>A century of compulsory voting in Australia: Genesis, impact and future</w:t>
      </w:r>
      <w:r w:rsidRPr="00CE6B92">
        <w:rPr>
          <w:rFonts w:ascii="Aptos" w:eastAsia="Aptos" w:hAnsi="Aptos" w:cs="Aptos"/>
          <w:szCs w:val="28"/>
          <w:lang w:val="en-GB" w:eastAsia="zh-CN" w:bidi="th-TH"/>
        </w:rPr>
        <w:t xml:space="preserve">, Palgrave Macmillan, Singapore. </w:t>
      </w:r>
    </w:p>
    <w:p w14:paraId="7934A12D" w14:textId="7D10CE3C"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Given LM, Case DO and Willson R (2023) </w:t>
      </w:r>
      <w:r w:rsidRPr="00CE6B92">
        <w:rPr>
          <w:rFonts w:ascii="Aptos" w:eastAsia="Aptos" w:hAnsi="Aptos" w:cs="Aptos"/>
          <w:i/>
          <w:iCs/>
          <w:szCs w:val="28"/>
          <w:lang w:val="en-GB" w:eastAsia="zh-CN" w:bidi="th-TH"/>
        </w:rPr>
        <w:t xml:space="preserve">Looking for information: Examining research on how people engage with information, </w:t>
      </w:r>
      <w:r w:rsidRPr="004161D9">
        <w:rPr>
          <w:rFonts w:ascii="Aptos" w:eastAsia="Aptos" w:hAnsi="Aptos" w:cs="Aptos"/>
          <w:i/>
          <w:iCs/>
          <w:szCs w:val="28"/>
          <w:lang w:val="en-GB" w:eastAsia="zh-CN" w:bidi="th-TH"/>
        </w:rPr>
        <w:t>5</w:t>
      </w:r>
      <w:r w:rsidRPr="004161D9">
        <w:rPr>
          <w:rFonts w:ascii="Aptos" w:eastAsia="Aptos" w:hAnsi="Aptos" w:cs="Aptos"/>
          <w:i/>
          <w:iCs/>
          <w:szCs w:val="28"/>
          <w:vertAlign w:val="superscript"/>
          <w:lang w:val="en-GB" w:eastAsia="zh-CN" w:bidi="th-TH"/>
        </w:rPr>
        <w:t>th</w:t>
      </w:r>
      <w:r w:rsidRPr="00CE6B92">
        <w:rPr>
          <w:rFonts w:ascii="Aptos" w:eastAsia="Aptos" w:hAnsi="Aptos" w:cs="Aptos"/>
          <w:i/>
          <w:iCs/>
          <w:szCs w:val="28"/>
          <w:lang w:val="en-GB" w:eastAsia="zh-CN" w:bidi="th-TH"/>
        </w:rPr>
        <w:t xml:space="preserve"> ed</w:t>
      </w:r>
      <w:r w:rsidR="00E54240">
        <w:rPr>
          <w:rFonts w:ascii="Aptos" w:eastAsia="Aptos" w:hAnsi="Aptos" w:cs="Aptos"/>
          <w:i/>
          <w:iCs/>
          <w:szCs w:val="28"/>
          <w:lang w:val="en-GB" w:eastAsia="zh-CN" w:bidi="th-TH"/>
        </w:rPr>
        <w:t>itio</w:t>
      </w:r>
      <w:r w:rsidRPr="00CE6B92">
        <w:rPr>
          <w:rFonts w:ascii="Aptos" w:eastAsia="Aptos" w:hAnsi="Aptos" w:cs="Aptos"/>
          <w:i/>
          <w:iCs/>
          <w:szCs w:val="28"/>
          <w:lang w:val="en-GB" w:eastAsia="zh-CN" w:bidi="th-TH"/>
        </w:rPr>
        <w:t xml:space="preserve">n, </w:t>
      </w:r>
      <w:r w:rsidRPr="00CE6B92">
        <w:rPr>
          <w:rFonts w:ascii="Aptos" w:eastAsia="Aptos" w:hAnsi="Aptos" w:cs="Aptos"/>
          <w:szCs w:val="28"/>
          <w:lang w:val="en-GB" w:eastAsia="zh-CN" w:bidi="th-TH"/>
        </w:rPr>
        <w:t xml:space="preserve">Emerald </w:t>
      </w:r>
      <w:r w:rsidR="00065602">
        <w:rPr>
          <w:rFonts w:ascii="Aptos" w:eastAsia="Aptos" w:hAnsi="Aptos" w:cs="Aptos"/>
          <w:szCs w:val="28"/>
          <w:lang w:val="en-GB" w:eastAsia="zh-CN" w:bidi="th-TH"/>
        </w:rPr>
        <w:t>Publishing Limited</w:t>
      </w:r>
      <w:r w:rsidRPr="00CE6B92">
        <w:rPr>
          <w:rFonts w:ascii="Aptos" w:eastAsia="Aptos" w:hAnsi="Aptos" w:cs="Aptos"/>
          <w:szCs w:val="28"/>
          <w:lang w:val="en-GB" w:eastAsia="zh-CN" w:bidi="th-TH"/>
        </w:rPr>
        <w:t xml:space="preserve">, London. </w:t>
      </w:r>
    </w:p>
    <w:p w14:paraId="731836D4" w14:textId="50744D8F" w:rsidR="00CE6B92" w:rsidRPr="00CE6B92" w:rsidRDefault="00CE6B92" w:rsidP="005D7D39">
      <w:pPr>
        <w:shd w:val="clear" w:color="auto" w:fill="FFFFFF"/>
        <w:rPr>
          <w:rFonts w:ascii="Aptos" w:eastAsia="Aptos" w:hAnsi="Aptos" w:cs="Aptos"/>
          <w:szCs w:val="28"/>
          <w:lang w:val="en-GB" w:eastAsia="zh-CN" w:bidi="th-TH"/>
        </w:rPr>
      </w:pPr>
      <w:bookmarkStart w:id="46" w:name="_Hlk220607492"/>
      <w:r w:rsidRPr="00CE6B92">
        <w:rPr>
          <w:rFonts w:ascii="Aptos" w:eastAsia="Aptos" w:hAnsi="Aptos" w:cs="Aptos"/>
          <w:szCs w:val="28"/>
          <w:lang w:val="en-GB" w:eastAsia="zh-CN" w:bidi="th-TH"/>
        </w:rPr>
        <w:t>Glow H, Kershaw A and Reason M (202</w:t>
      </w:r>
      <w:r w:rsidR="0092117C">
        <w:rPr>
          <w:rFonts w:ascii="Aptos" w:eastAsia="Aptos" w:hAnsi="Aptos" w:cs="Aptos"/>
          <w:szCs w:val="28"/>
          <w:lang w:val="en-GB" w:eastAsia="zh-CN" w:bidi="th-TH"/>
        </w:rPr>
        <w:t>1</w:t>
      </w:r>
      <w:r w:rsidRPr="00CE6B92">
        <w:rPr>
          <w:rFonts w:ascii="Aptos" w:eastAsia="Aptos" w:hAnsi="Aptos" w:cs="Aptos"/>
          <w:szCs w:val="28"/>
          <w:lang w:val="en-GB" w:eastAsia="zh-CN" w:bidi="th-TH"/>
        </w:rPr>
        <w:t xml:space="preserve">) ‘Leading or avoiding change: the problem of audience diversification for arts organisations’, </w:t>
      </w:r>
      <w:r w:rsidRPr="00CE6B92">
        <w:rPr>
          <w:rFonts w:ascii="Aptos" w:eastAsia="Aptos" w:hAnsi="Aptos" w:cs="Aptos"/>
          <w:i/>
          <w:iCs/>
          <w:szCs w:val="28"/>
          <w:lang w:val="en-GB" w:eastAsia="zh-CN" w:bidi="th-TH"/>
        </w:rPr>
        <w:t>International Journal of Cultural Policy</w:t>
      </w:r>
      <w:r w:rsidRPr="00CE6B92">
        <w:rPr>
          <w:rFonts w:ascii="Aptos" w:eastAsia="Aptos" w:hAnsi="Aptos" w:cs="Aptos"/>
          <w:szCs w:val="28"/>
          <w:lang w:val="en-GB" w:eastAsia="zh-CN" w:bidi="th-TH"/>
        </w:rPr>
        <w:t xml:space="preserve">, </w:t>
      </w:r>
      <w:r w:rsidRPr="00F87068">
        <w:rPr>
          <w:rFonts w:ascii="Aptos" w:eastAsia="Aptos" w:hAnsi="Aptos" w:cs="Aptos"/>
          <w:szCs w:val="28"/>
          <w:lang w:val="en-GB" w:eastAsia="zh-CN" w:bidi="th-TH"/>
        </w:rPr>
        <w:t>27</w:t>
      </w:r>
      <w:r w:rsidRPr="00CE6B92">
        <w:rPr>
          <w:rFonts w:ascii="Aptos" w:eastAsia="Aptos" w:hAnsi="Aptos" w:cs="Aptos"/>
          <w:szCs w:val="28"/>
          <w:lang w:val="en-GB" w:eastAsia="zh-CN" w:bidi="th-TH"/>
        </w:rPr>
        <w:t xml:space="preserve">(1):130–148. </w:t>
      </w:r>
      <w:hyperlink r:id="rId70" w:history="1">
        <w:r w:rsidR="00F87068" w:rsidRPr="00FB763F">
          <w:rPr>
            <w:rStyle w:val="Hyperlink"/>
          </w:rPr>
          <w:t>https://doi.org/10.1080/10286632.2019.1709060</w:t>
        </w:r>
      </w:hyperlink>
      <w:r w:rsidRPr="00CE6B92">
        <w:rPr>
          <w:rFonts w:ascii="Aptos" w:eastAsia="Aptos" w:hAnsi="Aptos" w:cs="Aptos"/>
          <w:szCs w:val="28"/>
          <w:lang w:val="en-GB" w:eastAsia="zh-CN" w:bidi="th-TH"/>
        </w:rPr>
        <w:t>.</w:t>
      </w:r>
      <w:r w:rsidR="00F87068">
        <w:rPr>
          <w:rFonts w:ascii="Aptos" w:eastAsia="Aptos" w:hAnsi="Aptos" w:cs="Aptos"/>
          <w:szCs w:val="28"/>
          <w:lang w:val="en-GB" w:eastAsia="zh-CN" w:bidi="th-TH"/>
        </w:rPr>
        <w:t xml:space="preserve"> </w:t>
      </w:r>
    </w:p>
    <w:bookmarkEnd w:id="46"/>
    <w:p w14:paraId="02FC4A0C" w14:textId="2934E94C"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Greenaway KH, Haslam SA and Bingley W (2019) ‘Are </w:t>
      </w:r>
      <w:r w:rsidR="001404FB">
        <w:rPr>
          <w:rFonts w:ascii="Aptos" w:eastAsia="Aptos" w:hAnsi="Aptos" w:cs="Aptos"/>
          <w:szCs w:val="28"/>
          <w:lang w:val="en-GB" w:eastAsia="zh-CN" w:bidi="th-TH"/>
        </w:rPr>
        <w:t>‘</w:t>
      </w:r>
      <w:r w:rsidRPr="00CE6B92">
        <w:rPr>
          <w:rFonts w:ascii="Aptos" w:eastAsia="Aptos" w:hAnsi="Aptos" w:cs="Aptos"/>
          <w:szCs w:val="28"/>
          <w:lang w:val="en-GB" w:eastAsia="zh-CN" w:bidi="th-TH"/>
        </w:rPr>
        <w:t>they</w:t>
      </w:r>
      <w:r w:rsidR="001404FB">
        <w:rPr>
          <w:rFonts w:ascii="Aptos" w:eastAsia="Aptos" w:hAnsi="Aptos" w:cs="Aptos"/>
          <w:szCs w:val="28"/>
          <w:lang w:val="en-GB" w:eastAsia="zh-CN" w:bidi="th-TH"/>
        </w:rPr>
        <w:t>’</w:t>
      </w:r>
      <w:r w:rsidRPr="00CE6B92">
        <w:rPr>
          <w:rFonts w:ascii="Aptos" w:eastAsia="Aptos" w:hAnsi="Aptos" w:cs="Aptos"/>
          <w:szCs w:val="28"/>
          <w:lang w:val="en-GB" w:eastAsia="zh-CN" w:bidi="th-TH"/>
        </w:rPr>
        <w:t xml:space="preserve"> out to get me? A social identity model of paranoia’, </w:t>
      </w:r>
      <w:r w:rsidRPr="00CE6B92">
        <w:rPr>
          <w:rFonts w:ascii="Aptos" w:eastAsia="Aptos" w:hAnsi="Aptos" w:cs="Aptos"/>
          <w:i/>
          <w:iCs/>
          <w:szCs w:val="28"/>
          <w:lang w:val="en-GB" w:eastAsia="zh-CN" w:bidi="th-TH"/>
        </w:rPr>
        <w:t>Group Processes and Intergroup Relations</w:t>
      </w:r>
      <w:r w:rsidRPr="00CE6B92">
        <w:rPr>
          <w:rFonts w:ascii="Aptos" w:eastAsia="Aptos" w:hAnsi="Aptos" w:cs="Aptos"/>
          <w:szCs w:val="28"/>
          <w:lang w:val="en-GB" w:eastAsia="zh-CN" w:bidi="th-TH"/>
        </w:rPr>
        <w:t xml:space="preserve">, 22(7):984–1001, </w:t>
      </w:r>
      <w:hyperlink r:id="rId71" w:history="1">
        <w:r w:rsidR="007D7FFB" w:rsidRPr="00FB763F">
          <w:rPr>
            <w:rStyle w:val="Hyperlink"/>
          </w:rPr>
          <w:t>https://doi.org/10.1177/1368430218793190</w:t>
        </w:r>
      </w:hyperlink>
      <w:r w:rsidR="007D7FFB">
        <w:rPr>
          <w:rFonts w:ascii="Aptos" w:eastAsia="Aptos" w:hAnsi="Aptos" w:cs="Aptos"/>
          <w:szCs w:val="28"/>
          <w:lang w:val="en-GB" w:eastAsia="zh-CN" w:bidi="th-TH"/>
        </w:rPr>
        <w:t>.</w:t>
      </w:r>
      <w:r w:rsidR="007D7FFB">
        <w:rPr>
          <w:rFonts w:ascii="Aptos" w:eastAsia="Aptos" w:hAnsi="Aptos" w:cs="Aptos"/>
          <w:szCs w:val="28"/>
          <w:u w:val="single"/>
          <w:lang w:val="en-GB" w:eastAsia="zh-CN" w:bidi="th-TH"/>
        </w:rPr>
        <w:t xml:space="preserve"> </w:t>
      </w:r>
      <w:r w:rsidRPr="00CE6B92">
        <w:rPr>
          <w:rFonts w:ascii="Aptos" w:eastAsia="Aptos" w:hAnsi="Aptos" w:cs="Aptos"/>
          <w:szCs w:val="28"/>
          <w:lang w:val="en-GB" w:eastAsia="zh-CN" w:bidi="th-TH"/>
        </w:rPr>
        <w:t xml:space="preserve"> </w:t>
      </w:r>
      <w:r w:rsidR="007D7FFB">
        <w:rPr>
          <w:rFonts w:ascii="Aptos" w:eastAsia="Aptos" w:hAnsi="Aptos" w:cs="Aptos"/>
          <w:szCs w:val="28"/>
          <w:lang w:val="en-GB" w:eastAsia="zh-CN" w:bidi="th-TH"/>
        </w:rPr>
        <w:t xml:space="preserve"> </w:t>
      </w:r>
    </w:p>
    <w:p w14:paraId="23B1588C" w14:textId="77777777"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Grotz K and </w:t>
      </w:r>
      <w:proofErr w:type="spellStart"/>
      <w:r w:rsidRPr="00CE6B92">
        <w:rPr>
          <w:rFonts w:ascii="Aptos" w:eastAsia="Aptos" w:hAnsi="Aptos" w:cs="Aptos"/>
          <w:szCs w:val="28"/>
          <w:lang w:val="en-GB" w:eastAsia="zh-CN" w:bidi="th-TH"/>
        </w:rPr>
        <w:t>Rahemipour</w:t>
      </w:r>
      <w:proofErr w:type="spellEnd"/>
      <w:r w:rsidRPr="00CE6B92">
        <w:rPr>
          <w:rFonts w:ascii="Aptos" w:eastAsia="Aptos" w:hAnsi="Aptos" w:cs="Aptos"/>
          <w:szCs w:val="28"/>
          <w:lang w:val="en-GB" w:eastAsia="zh-CN" w:bidi="th-TH"/>
        </w:rPr>
        <w:t xml:space="preserve"> P (2024)</w:t>
      </w:r>
      <w:hyperlink r:id="rId72">
        <w:r w:rsidRPr="00A92D32">
          <w:rPr>
            <w:rFonts w:ascii="Aptos" w:eastAsia="Aptos" w:hAnsi="Aptos" w:cs="Aptos"/>
            <w:i/>
            <w:iCs/>
            <w:szCs w:val="28"/>
            <w:lang w:val="en-GB" w:eastAsia="zh-CN" w:bidi="th-TH"/>
          </w:rPr>
          <w:t xml:space="preserve"> </w:t>
        </w:r>
      </w:hyperlink>
      <w:hyperlink r:id="rId73">
        <w:r w:rsidRPr="00A92D32">
          <w:rPr>
            <w:rStyle w:val="Hyperlink"/>
            <w:i/>
            <w:iCs/>
          </w:rPr>
          <w:t>The hidden capital: Trust in museums in Germany. The German public's view of a cultural institution in transition</w:t>
        </w:r>
      </w:hyperlink>
      <w:r w:rsidRPr="00CE6B92">
        <w:rPr>
          <w:rFonts w:ascii="Aptos" w:eastAsia="Aptos" w:hAnsi="Aptos" w:cs="Aptos"/>
          <w:i/>
          <w:iCs/>
          <w:szCs w:val="28"/>
          <w:lang w:val="en-GB" w:eastAsia="zh-CN" w:bidi="th-TH"/>
        </w:rPr>
        <w:t xml:space="preserve">, </w:t>
      </w:r>
      <w:r w:rsidRPr="00CE6B92">
        <w:rPr>
          <w:rFonts w:ascii="Aptos" w:eastAsia="Aptos" w:hAnsi="Aptos" w:cs="Aptos"/>
          <w:szCs w:val="28"/>
          <w:lang w:val="en-GB" w:eastAsia="zh-CN" w:bidi="th-TH"/>
        </w:rPr>
        <w:t xml:space="preserve">The Institute for Museum Research – Stiftung </w:t>
      </w:r>
      <w:proofErr w:type="spellStart"/>
      <w:r w:rsidRPr="00CE6B92">
        <w:rPr>
          <w:rFonts w:ascii="Aptos" w:eastAsia="Aptos" w:hAnsi="Aptos" w:cs="Aptos"/>
          <w:szCs w:val="28"/>
          <w:lang w:val="en-GB" w:eastAsia="zh-CN" w:bidi="th-TH"/>
        </w:rPr>
        <w:t>Preußischer</w:t>
      </w:r>
      <w:proofErr w:type="spellEnd"/>
      <w:r w:rsidRPr="00CE6B92">
        <w:rPr>
          <w:rFonts w:ascii="Aptos" w:eastAsia="Aptos" w:hAnsi="Aptos" w:cs="Aptos"/>
          <w:szCs w:val="28"/>
          <w:lang w:val="en-GB" w:eastAsia="zh-CN" w:bidi="th-TH"/>
        </w:rPr>
        <w:t xml:space="preserve"> Kulturbesitz, Berlin. </w:t>
      </w:r>
    </w:p>
    <w:p w14:paraId="659EB073" w14:textId="77777777"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Hammonds, W (2023)</w:t>
      </w:r>
      <w:hyperlink r:id="rId74">
        <w:r w:rsidRPr="00DE0C86">
          <w:rPr>
            <w:rFonts w:ascii="Aptos" w:eastAsia="Aptos" w:hAnsi="Aptos" w:cs="Aptos"/>
            <w:szCs w:val="28"/>
            <w:lang w:val="en-GB" w:eastAsia="zh-CN" w:bidi="th-TH"/>
          </w:rPr>
          <w:t xml:space="preserve"> </w:t>
        </w:r>
      </w:hyperlink>
      <w:hyperlink r:id="rId75">
        <w:r w:rsidRPr="00DE0C86">
          <w:rPr>
            <w:rStyle w:val="Hyperlink"/>
            <w:i/>
            <w:iCs/>
          </w:rPr>
          <w:t>Culture and democracy, the evidence – How citizens’ participation in cultural activities enhances civic engagement, democracy and social cohesion – Lessons from international research</w:t>
        </w:r>
      </w:hyperlink>
      <w:r w:rsidRPr="00CE6B92">
        <w:rPr>
          <w:rFonts w:ascii="Aptos" w:eastAsia="Aptos" w:hAnsi="Aptos" w:cs="Aptos"/>
          <w:szCs w:val="28"/>
          <w:lang w:val="en-GB" w:eastAsia="zh-CN" w:bidi="th-TH"/>
        </w:rPr>
        <w:t xml:space="preserve">, Directorate-General for Education, Youth, Sport and Culture, European Commission. </w:t>
      </w:r>
    </w:p>
    <w:p w14:paraId="13E42876" w14:textId="77777777"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Hendriks CM, Ercan SA and Boswell, J (2020) </w:t>
      </w:r>
      <w:r w:rsidRPr="00CE6B92">
        <w:rPr>
          <w:rFonts w:ascii="Aptos" w:eastAsia="Aptos" w:hAnsi="Aptos" w:cs="Aptos"/>
          <w:i/>
          <w:iCs/>
          <w:szCs w:val="28"/>
          <w:lang w:val="en-GB" w:eastAsia="zh-CN" w:bidi="th-TH"/>
        </w:rPr>
        <w:t xml:space="preserve">Mending democracy: Democratic repair in disconnected times, </w:t>
      </w:r>
      <w:r w:rsidRPr="00CE6B92">
        <w:rPr>
          <w:rFonts w:ascii="Aptos" w:eastAsia="Aptos" w:hAnsi="Aptos" w:cs="Aptos"/>
          <w:szCs w:val="28"/>
          <w:lang w:val="en-GB" w:eastAsia="zh-CN" w:bidi="th-TH"/>
        </w:rPr>
        <w:t xml:space="preserve">Oxford University Press, Oxford. </w:t>
      </w:r>
    </w:p>
    <w:p w14:paraId="32F0F3EF" w14:textId="7E6C8D91"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Hoes E, Aitken B, Zhang J, Gackowski T and Wojcieszak M (2024) ‘Prominent misinformation interventions reduce misperceptions but increase scepticism’, </w:t>
      </w:r>
      <w:r w:rsidRPr="00CE6B92">
        <w:rPr>
          <w:rFonts w:ascii="Aptos" w:eastAsia="Aptos" w:hAnsi="Aptos" w:cs="Aptos"/>
          <w:i/>
          <w:iCs/>
          <w:szCs w:val="28"/>
          <w:lang w:val="en-GB" w:eastAsia="zh-CN" w:bidi="th-TH"/>
        </w:rPr>
        <w:t xml:space="preserve">Nature Human Behaviour </w:t>
      </w:r>
      <w:r w:rsidRPr="00CE6B92">
        <w:rPr>
          <w:rFonts w:ascii="Aptos" w:eastAsia="Aptos" w:hAnsi="Aptos" w:cs="Aptos"/>
          <w:szCs w:val="28"/>
          <w:lang w:val="en-GB" w:eastAsia="zh-CN" w:bidi="th-TH"/>
        </w:rPr>
        <w:t xml:space="preserve">8:1545–1553, </w:t>
      </w:r>
      <w:hyperlink r:id="rId76" w:history="1">
        <w:r w:rsidR="00DE0C86" w:rsidRPr="00FB763F">
          <w:rPr>
            <w:rStyle w:val="Hyperlink"/>
          </w:rPr>
          <w:t>https://doi.org/10.1038/s41562-024-01884-x</w:t>
        </w:r>
      </w:hyperlink>
      <w:r w:rsidRPr="00CE6B92">
        <w:rPr>
          <w:rFonts w:ascii="Aptos" w:eastAsia="Aptos" w:hAnsi="Aptos" w:cs="Aptos"/>
          <w:szCs w:val="28"/>
          <w:lang w:val="en-GB" w:eastAsia="zh-CN" w:bidi="th-TH"/>
        </w:rPr>
        <w:t>.</w:t>
      </w:r>
      <w:r w:rsidR="00DE0C86">
        <w:rPr>
          <w:rFonts w:ascii="Aptos" w:eastAsia="Aptos" w:hAnsi="Aptos" w:cs="Aptos"/>
          <w:szCs w:val="28"/>
          <w:lang w:val="en-GB" w:eastAsia="zh-CN" w:bidi="th-TH"/>
        </w:rPr>
        <w:t xml:space="preserve"> </w:t>
      </w:r>
    </w:p>
    <w:p w14:paraId="60CAF316" w14:textId="6A4BC25F"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Hooper-Greenhill E, Sandell R, </w:t>
      </w:r>
      <w:proofErr w:type="spellStart"/>
      <w:r w:rsidRPr="00CE6B92">
        <w:rPr>
          <w:rFonts w:ascii="Aptos" w:eastAsia="Aptos" w:hAnsi="Aptos" w:cs="Aptos"/>
          <w:szCs w:val="28"/>
          <w:lang w:val="en-GB" w:eastAsia="zh-CN" w:bidi="th-TH"/>
        </w:rPr>
        <w:t>Moussouri</w:t>
      </w:r>
      <w:proofErr w:type="spellEnd"/>
      <w:r w:rsidRPr="00CE6B92">
        <w:rPr>
          <w:rFonts w:ascii="Aptos" w:eastAsia="Aptos" w:hAnsi="Aptos" w:cs="Aptos"/>
          <w:szCs w:val="28"/>
          <w:lang w:val="en-GB" w:eastAsia="zh-CN" w:bidi="th-TH"/>
        </w:rPr>
        <w:t xml:space="preserve"> T and</w:t>
      </w:r>
      <w:r w:rsidR="0071580B">
        <w:rPr>
          <w:rFonts w:ascii="Aptos" w:eastAsia="Aptos" w:hAnsi="Aptos" w:cs="Aptos"/>
          <w:szCs w:val="28"/>
          <w:lang w:val="en-GB" w:eastAsia="zh-CN" w:bidi="th-TH"/>
        </w:rPr>
        <w:t xml:space="preserve"> </w:t>
      </w:r>
      <w:proofErr w:type="spellStart"/>
      <w:r w:rsidRPr="00CE6B92">
        <w:rPr>
          <w:rFonts w:ascii="Aptos" w:eastAsia="Aptos" w:hAnsi="Aptos" w:cs="Aptos"/>
          <w:szCs w:val="28"/>
          <w:lang w:val="en-GB" w:eastAsia="zh-CN" w:bidi="th-TH"/>
        </w:rPr>
        <w:t>O’Riain</w:t>
      </w:r>
      <w:proofErr w:type="spellEnd"/>
      <w:r w:rsidRPr="00CE6B92">
        <w:rPr>
          <w:rFonts w:ascii="Aptos" w:eastAsia="Aptos" w:hAnsi="Aptos" w:cs="Aptos"/>
          <w:szCs w:val="28"/>
          <w:lang w:val="en-GB" w:eastAsia="zh-CN" w:bidi="th-TH"/>
        </w:rPr>
        <w:t xml:space="preserve"> H (2000) </w:t>
      </w:r>
      <w:hyperlink r:id="rId77">
        <w:r w:rsidRPr="0071580B">
          <w:rPr>
            <w:rStyle w:val="Hyperlink"/>
            <w:i/>
            <w:iCs/>
          </w:rPr>
          <w:t>Museums and social inclusion: The GLLAM report</w:t>
        </w:r>
      </w:hyperlink>
      <w:r w:rsidRPr="00CE6B92">
        <w:rPr>
          <w:rFonts w:ascii="Aptos" w:eastAsia="Aptos" w:hAnsi="Aptos" w:cs="Aptos"/>
          <w:szCs w:val="28"/>
          <w:lang w:val="en-GB" w:eastAsia="zh-CN" w:bidi="th-TH"/>
        </w:rPr>
        <w:t xml:space="preserve">, Research Centre for Museums and Galleries, Department of Museum Studies, University of Leicester, Leicester. </w:t>
      </w:r>
    </w:p>
    <w:p w14:paraId="64DC75F8" w14:textId="64473D13"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Hornsey MJ and Fielding KS (2017) ‘Attitude roots and Jiu Jitsu persuasion: Understanding and overcoming the motivated rejection of science’, </w:t>
      </w:r>
      <w:r w:rsidRPr="00CE6B92">
        <w:rPr>
          <w:rFonts w:ascii="Aptos" w:eastAsia="Aptos" w:hAnsi="Aptos" w:cs="Aptos"/>
          <w:i/>
          <w:iCs/>
          <w:szCs w:val="28"/>
          <w:lang w:val="en-GB" w:eastAsia="zh-CN" w:bidi="th-TH"/>
        </w:rPr>
        <w:t>American Psychologist,</w:t>
      </w:r>
      <w:r w:rsidRPr="00CE6B92">
        <w:rPr>
          <w:rFonts w:ascii="Aptos" w:eastAsia="Aptos" w:hAnsi="Aptos" w:cs="Aptos"/>
          <w:szCs w:val="28"/>
          <w:lang w:val="en-GB" w:eastAsia="zh-CN" w:bidi="th-TH"/>
        </w:rPr>
        <w:t xml:space="preserve"> 72(5):459–473, </w:t>
      </w:r>
      <w:hyperlink r:id="rId78" w:history="1">
        <w:r w:rsidR="004F3F77" w:rsidRPr="00FB763F">
          <w:rPr>
            <w:rStyle w:val="Hyperlink"/>
          </w:rPr>
          <w:t>https://doi.org/10.1037/a0040437</w:t>
        </w:r>
      </w:hyperlink>
      <w:r w:rsidRPr="00CE6B92">
        <w:rPr>
          <w:rFonts w:ascii="Aptos" w:eastAsia="Aptos" w:hAnsi="Aptos" w:cs="Aptos"/>
          <w:szCs w:val="28"/>
          <w:lang w:val="en-GB" w:eastAsia="zh-CN" w:bidi="th-TH"/>
        </w:rPr>
        <w:t>.</w:t>
      </w:r>
      <w:r w:rsidR="004F3F77">
        <w:rPr>
          <w:rFonts w:ascii="Aptos" w:eastAsia="Aptos" w:hAnsi="Aptos" w:cs="Aptos"/>
          <w:szCs w:val="28"/>
          <w:lang w:val="en-GB" w:eastAsia="zh-CN" w:bidi="th-TH"/>
        </w:rPr>
        <w:t xml:space="preserve"> </w:t>
      </w:r>
      <w:r w:rsidRPr="00CE6B92">
        <w:rPr>
          <w:rFonts w:ascii="Aptos" w:eastAsia="Aptos" w:hAnsi="Aptos" w:cs="Aptos"/>
          <w:szCs w:val="28"/>
          <w:lang w:val="en-GB" w:eastAsia="zh-CN" w:bidi="th-TH"/>
        </w:rPr>
        <w:t xml:space="preserve"> </w:t>
      </w:r>
    </w:p>
    <w:p w14:paraId="78A6A945" w14:textId="6966AF32"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Hornsey MJ, Pearson S, Kang J, Sassenberg K, Jetten J, Van Lange PAM, Medina LG, Amiot CE, Ausmees L, Baguma P, Barry O, Becker M, </w:t>
      </w:r>
      <w:proofErr w:type="spellStart"/>
      <w:r w:rsidRPr="00CE6B92">
        <w:rPr>
          <w:rFonts w:ascii="Aptos" w:eastAsia="Aptos" w:hAnsi="Aptos" w:cs="Aptos"/>
          <w:szCs w:val="28"/>
          <w:lang w:val="en-GB" w:eastAsia="zh-CN" w:bidi="th-TH"/>
        </w:rPr>
        <w:t>Bilewicz</w:t>
      </w:r>
      <w:proofErr w:type="spellEnd"/>
      <w:r w:rsidRPr="00CE6B92">
        <w:rPr>
          <w:rFonts w:ascii="Aptos" w:eastAsia="Aptos" w:hAnsi="Aptos" w:cs="Aptos"/>
          <w:szCs w:val="28"/>
          <w:lang w:val="en-GB" w:eastAsia="zh-CN" w:bidi="th-TH"/>
        </w:rPr>
        <w:t xml:space="preserve"> M, </w:t>
      </w:r>
      <w:proofErr w:type="spellStart"/>
      <w:r w:rsidRPr="00CE6B92">
        <w:rPr>
          <w:rFonts w:ascii="Aptos" w:eastAsia="Aptos" w:hAnsi="Aptos" w:cs="Aptos"/>
          <w:szCs w:val="28"/>
          <w:lang w:val="en-GB" w:eastAsia="zh-CN" w:bidi="th-TH"/>
        </w:rPr>
        <w:t>Castelain</w:t>
      </w:r>
      <w:proofErr w:type="spellEnd"/>
      <w:r w:rsidRPr="00CE6B92">
        <w:rPr>
          <w:rFonts w:ascii="Aptos" w:eastAsia="Aptos" w:hAnsi="Aptos" w:cs="Aptos"/>
          <w:szCs w:val="28"/>
          <w:lang w:val="en-GB" w:eastAsia="zh-CN" w:bidi="th-TH"/>
        </w:rPr>
        <w:t xml:space="preserve"> T, Costantini G, </w:t>
      </w:r>
      <w:proofErr w:type="spellStart"/>
      <w:r w:rsidRPr="00CE6B92">
        <w:rPr>
          <w:rFonts w:ascii="Aptos" w:eastAsia="Aptos" w:hAnsi="Aptos" w:cs="Aptos"/>
          <w:szCs w:val="28"/>
          <w:lang w:val="en-GB" w:eastAsia="zh-CN" w:bidi="th-TH"/>
        </w:rPr>
        <w:t>Dimdins</w:t>
      </w:r>
      <w:proofErr w:type="spellEnd"/>
      <w:r w:rsidRPr="00CE6B92">
        <w:rPr>
          <w:rFonts w:ascii="Aptos" w:eastAsia="Aptos" w:hAnsi="Aptos" w:cs="Aptos"/>
          <w:szCs w:val="28"/>
          <w:lang w:val="en-GB" w:eastAsia="zh-CN" w:bidi="th-TH"/>
        </w:rPr>
        <w:t xml:space="preserve"> G, Espinosa A, </w:t>
      </w:r>
      <w:proofErr w:type="spellStart"/>
      <w:r w:rsidRPr="00CE6B92">
        <w:rPr>
          <w:rFonts w:ascii="Aptos" w:eastAsia="Aptos" w:hAnsi="Aptos" w:cs="Aptos"/>
          <w:szCs w:val="28"/>
          <w:lang w:val="en-GB" w:eastAsia="zh-CN" w:bidi="th-TH"/>
        </w:rPr>
        <w:t>Finchilescu</w:t>
      </w:r>
      <w:proofErr w:type="spellEnd"/>
      <w:r w:rsidRPr="00CE6B92">
        <w:rPr>
          <w:rFonts w:ascii="Aptos" w:eastAsia="Aptos" w:hAnsi="Aptos" w:cs="Aptos"/>
          <w:szCs w:val="28"/>
          <w:lang w:val="en-GB" w:eastAsia="zh-CN" w:bidi="th-TH"/>
        </w:rPr>
        <w:t xml:space="preserve"> G, Friese M, González R, Goto N, Gómez A, Halama P, </w:t>
      </w:r>
      <w:proofErr w:type="spellStart"/>
      <w:r w:rsidRPr="00CE6B92">
        <w:rPr>
          <w:rFonts w:ascii="Aptos" w:eastAsia="Aptos" w:hAnsi="Aptos" w:cs="Aptos"/>
          <w:szCs w:val="28"/>
          <w:lang w:val="en-GB" w:eastAsia="zh-CN" w:bidi="th-TH"/>
        </w:rPr>
        <w:t>Ilustrisimo</w:t>
      </w:r>
      <w:proofErr w:type="spellEnd"/>
      <w:r w:rsidRPr="00CE6B92">
        <w:rPr>
          <w:rFonts w:ascii="Aptos" w:eastAsia="Aptos" w:hAnsi="Aptos" w:cs="Aptos"/>
          <w:szCs w:val="28"/>
          <w:lang w:val="en-GB" w:eastAsia="zh-CN" w:bidi="th-TH"/>
        </w:rPr>
        <w:t xml:space="preserve"> R, Jiga-Boy GM, Karl J, </w:t>
      </w:r>
      <w:proofErr w:type="spellStart"/>
      <w:r w:rsidRPr="00CE6B92">
        <w:rPr>
          <w:rFonts w:ascii="Aptos" w:eastAsia="Aptos" w:hAnsi="Aptos" w:cs="Aptos"/>
          <w:szCs w:val="28"/>
          <w:lang w:val="en-GB" w:eastAsia="zh-CN" w:bidi="th-TH"/>
        </w:rPr>
        <w:t>Kuppens</w:t>
      </w:r>
      <w:proofErr w:type="spellEnd"/>
      <w:r w:rsidRPr="00CE6B92">
        <w:rPr>
          <w:rFonts w:ascii="Aptos" w:eastAsia="Aptos" w:hAnsi="Aptos" w:cs="Aptos"/>
          <w:szCs w:val="28"/>
          <w:lang w:val="en-GB" w:eastAsia="zh-CN" w:bidi="th-TH"/>
        </w:rPr>
        <w:t xml:space="preserve"> P, Loughnan S, </w:t>
      </w:r>
      <w:proofErr w:type="spellStart"/>
      <w:r w:rsidRPr="00CE6B92">
        <w:rPr>
          <w:rFonts w:ascii="Aptos" w:eastAsia="Aptos" w:hAnsi="Aptos" w:cs="Aptos"/>
          <w:szCs w:val="28"/>
          <w:lang w:val="en-GB" w:eastAsia="zh-CN" w:bidi="th-TH"/>
        </w:rPr>
        <w:t>Markovikj</w:t>
      </w:r>
      <w:proofErr w:type="spellEnd"/>
      <w:r w:rsidRPr="00CE6B92">
        <w:rPr>
          <w:rFonts w:ascii="Aptos" w:eastAsia="Aptos" w:hAnsi="Aptos" w:cs="Aptos"/>
          <w:szCs w:val="28"/>
          <w:lang w:val="en-GB" w:eastAsia="zh-CN" w:bidi="th-TH"/>
        </w:rPr>
        <w:t xml:space="preserve"> M, </w:t>
      </w:r>
      <w:proofErr w:type="spellStart"/>
      <w:r w:rsidRPr="00CE6B92">
        <w:rPr>
          <w:rFonts w:ascii="Aptos" w:eastAsia="Aptos" w:hAnsi="Aptos" w:cs="Aptos"/>
          <w:szCs w:val="28"/>
          <w:lang w:val="en-GB" w:eastAsia="zh-CN" w:bidi="th-TH"/>
        </w:rPr>
        <w:t>Mastor</w:t>
      </w:r>
      <w:proofErr w:type="spellEnd"/>
      <w:r w:rsidRPr="00CE6B92">
        <w:rPr>
          <w:rFonts w:ascii="Aptos" w:eastAsia="Aptos" w:hAnsi="Aptos" w:cs="Aptos"/>
          <w:szCs w:val="28"/>
          <w:lang w:val="en-GB" w:eastAsia="zh-CN" w:bidi="th-TH"/>
        </w:rPr>
        <w:t xml:space="preserve"> KA, </w:t>
      </w:r>
      <w:proofErr w:type="spellStart"/>
      <w:r w:rsidRPr="00CE6B92">
        <w:rPr>
          <w:rFonts w:ascii="Aptos" w:eastAsia="Aptos" w:hAnsi="Aptos" w:cs="Aptos"/>
          <w:szCs w:val="28"/>
          <w:lang w:val="en-GB" w:eastAsia="zh-CN" w:bidi="th-TH"/>
        </w:rPr>
        <w:t>McLatchie</w:t>
      </w:r>
      <w:proofErr w:type="spellEnd"/>
      <w:r w:rsidRPr="00CE6B92">
        <w:rPr>
          <w:rFonts w:ascii="Aptos" w:eastAsia="Aptos" w:hAnsi="Aptos" w:cs="Aptos"/>
          <w:szCs w:val="28"/>
          <w:lang w:val="en-GB" w:eastAsia="zh-CN" w:bidi="th-TH"/>
        </w:rPr>
        <w:t xml:space="preserve"> N, Novak LM, Onyekachi BN, Peker M, Rizwan M, Schaller M, Suh EM, </w:t>
      </w:r>
      <w:proofErr w:type="spellStart"/>
      <w:r w:rsidRPr="00CE6B92">
        <w:rPr>
          <w:rFonts w:ascii="Aptos" w:eastAsia="Aptos" w:hAnsi="Aptos" w:cs="Aptos"/>
          <w:szCs w:val="28"/>
          <w:lang w:val="en-GB" w:eastAsia="zh-CN" w:bidi="th-TH"/>
        </w:rPr>
        <w:t>Talaifar</w:t>
      </w:r>
      <w:proofErr w:type="spellEnd"/>
      <w:r w:rsidRPr="00CE6B92">
        <w:rPr>
          <w:rFonts w:ascii="Aptos" w:eastAsia="Aptos" w:hAnsi="Aptos" w:cs="Aptos"/>
          <w:szCs w:val="28"/>
          <w:lang w:val="en-GB" w:eastAsia="zh-CN" w:bidi="th-TH"/>
        </w:rPr>
        <w:t xml:space="preserve"> S, Tong EMW, Torres A, Turner RN, </w:t>
      </w:r>
      <w:proofErr w:type="spellStart"/>
      <w:r w:rsidRPr="00CE6B92">
        <w:rPr>
          <w:rFonts w:ascii="Aptos" w:eastAsia="Aptos" w:hAnsi="Aptos" w:cs="Aptos"/>
          <w:szCs w:val="28"/>
          <w:lang w:val="en-GB" w:eastAsia="zh-CN" w:bidi="th-TH"/>
        </w:rPr>
        <w:t>Vauclair</w:t>
      </w:r>
      <w:proofErr w:type="spellEnd"/>
      <w:r w:rsidRPr="00CE6B92">
        <w:rPr>
          <w:rFonts w:ascii="Aptos" w:eastAsia="Aptos" w:hAnsi="Aptos" w:cs="Aptos"/>
          <w:szCs w:val="28"/>
          <w:lang w:val="en-GB" w:eastAsia="zh-CN" w:bidi="th-TH"/>
        </w:rPr>
        <w:t xml:space="preserve"> C, Vinogradov A, Wang Z, Wai </w:t>
      </w:r>
      <w:r w:rsidRPr="00CE6B92">
        <w:rPr>
          <w:rFonts w:ascii="Aptos" w:eastAsia="Aptos" w:hAnsi="Aptos" w:cs="Aptos"/>
          <w:szCs w:val="28"/>
          <w:lang w:val="en-GB" w:eastAsia="zh-CN" w:bidi="th-TH"/>
        </w:rPr>
        <w:lastRenderedPageBreak/>
        <w:t xml:space="preserve">Lan Yeung V and Bastian B (2022) ‘Multinational data show that conspiracy beliefs are associated with the perception (and reality) of poor national economic performance’, </w:t>
      </w:r>
      <w:r w:rsidRPr="00CE6B92">
        <w:rPr>
          <w:rFonts w:ascii="Aptos" w:eastAsia="Aptos" w:hAnsi="Aptos" w:cs="Aptos"/>
          <w:i/>
          <w:iCs/>
          <w:szCs w:val="28"/>
          <w:lang w:val="en-GB" w:eastAsia="zh-CN" w:bidi="th-TH"/>
        </w:rPr>
        <w:t xml:space="preserve">European Journal of Social Psychology, </w:t>
      </w:r>
      <w:r w:rsidRPr="00CE6B92">
        <w:rPr>
          <w:rFonts w:ascii="Aptos" w:eastAsia="Aptos" w:hAnsi="Aptos" w:cs="Aptos"/>
          <w:szCs w:val="28"/>
          <w:lang w:val="en-GB" w:eastAsia="zh-CN" w:bidi="th-TH"/>
        </w:rPr>
        <w:t xml:space="preserve">53(1):78–89, </w:t>
      </w:r>
      <w:hyperlink r:id="rId79">
        <w:r w:rsidR="00ED5B21" w:rsidRPr="00963029">
          <w:rPr>
            <w:rStyle w:val="Hyperlink"/>
            <w:lang w:val="en-GB" w:eastAsia="zh-CN" w:bidi="th-TH"/>
          </w:rPr>
          <w:t>https://doi.org/10.1002/ejsp.2888</w:t>
        </w:r>
        <w:r w:rsidRPr="00963029">
          <w:rPr>
            <w:rFonts w:ascii="Aptos" w:eastAsia="Aptos" w:hAnsi="Aptos" w:cs="Aptos"/>
            <w:szCs w:val="28"/>
            <w:lang w:val="en-GB" w:eastAsia="zh-CN" w:bidi="th-TH"/>
          </w:rPr>
          <w:t>.</w:t>
        </w:r>
      </w:hyperlink>
      <w:r w:rsidR="00963029">
        <w:t xml:space="preserve"> </w:t>
      </w:r>
      <w:r w:rsidRPr="00CE6B92">
        <w:rPr>
          <w:rFonts w:ascii="Aptos" w:eastAsia="Aptos" w:hAnsi="Aptos" w:cs="Aptos"/>
          <w:szCs w:val="28"/>
          <w:lang w:val="en-GB" w:eastAsia="zh-CN" w:bidi="th-TH"/>
        </w:rPr>
        <w:t xml:space="preserve"> </w:t>
      </w:r>
    </w:p>
    <w:p w14:paraId="2CB8B7C6" w14:textId="1D82D286" w:rsidR="00CE6B92" w:rsidRPr="00CE6B92" w:rsidRDefault="00CE6B92" w:rsidP="005D7D39">
      <w:pPr>
        <w:shd w:val="clear" w:color="auto" w:fill="FFFFFF"/>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House of Representatives Standing Committee on Communications and the Arts (2021) </w:t>
      </w:r>
      <w:hyperlink r:id="rId80" w:history="1">
        <w:r w:rsidRPr="00F35889">
          <w:rPr>
            <w:rStyle w:val="Hyperlink"/>
            <w:i/>
            <w:iCs/>
          </w:rPr>
          <w:t>Sculpting a national cultural plan: Igniting a post-COVID economy for the arts</w:t>
        </w:r>
        <w:r w:rsidRPr="00F35889">
          <w:rPr>
            <w:rStyle w:val="Hyperlink"/>
            <w:rFonts w:ascii="Aptos" w:eastAsia="Aptos" w:hAnsi="Aptos" w:cs="Aptos"/>
            <w:i/>
            <w:iCs/>
            <w:szCs w:val="28"/>
            <w:lang w:val="en-GB" w:eastAsia="zh-CN" w:bidi="th-TH"/>
          </w:rPr>
          <w:t>,</w:t>
        </w:r>
      </w:hyperlink>
      <w:r w:rsidRPr="00CE6B92">
        <w:rPr>
          <w:rFonts w:ascii="Aptos" w:eastAsia="Aptos" w:hAnsi="Aptos" w:cs="Aptos"/>
          <w:szCs w:val="28"/>
          <w:lang w:val="en-GB" w:eastAsia="zh-CN" w:bidi="th-TH"/>
        </w:rPr>
        <w:t xml:space="preserve"> Commonwealth of Australia, Canberra. </w:t>
      </w:r>
    </w:p>
    <w:p w14:paraId="456EFC93" w14:textId="04A1F3C9" w:rsidR="00CE6B92" w:rsidRPr="00CE6B92" w:rsidRDefault="00CE6B92" w:rsidP="005D7D39">
      <w:pPr>
        <w:rPr>
          <w:rFonts w:ascii="Aptos" w:eastAsia="Aptos" w:hAnsi="Aptos" w:cs="Aptos"/>
          <w:szCs w:val="28"/>
          <w:lang w:val="en-GB" w:eastAsia="zh-CN" w:bidi="th-TH"/>
        </w:rPr>
      </w:pPr>
      <w:proofErr w:type="spellStart"/>
      <w:r w:rsidRPr="00CE6B92">
        <w:rPr>
          <w:rFonts w:ascii="Aptos" w:eastAsia="Aptos" w:hAnsi="Aptos" w:cs="Aptos"/>
          <w:szCs w:val="28"/>
          <w:lang w:val="en-GB" w:eastAsia="zh-CN" w:bidi="th-TH"/>
        </w:rPr>
        <w:t>Humprecht</w:t>
      </w:r>
      <w:proofErr w:type="spellEnd"/>
      <w:r w:rsidRPr="00CE6B92">
        <w:rPr>
          <w:rFonts w:ascii="Aptos" w:eastAsia="Aptos" w:hAnsi="Aptos" w:cs="Aptos"/>
          <w:szCs w:val="28"/>
          <w:lang w:val="en-GB" w:eastAsia="zh-CN" w:bidi="th-TH"/>
        </w:rPr>
        <w:t xml:space="preserve"> E, Esser F and Van Aelst P (2020) ‘Resilience to online disinformation: A</w:t>
      </w:r>
      <w:r w:rsidR="00EA5229">
        <w:rPr>
          <w:rFonts w:ascii="Aptos" w:eastAsia="Aptos" w:hAnsi="Aptos" w:cs="Aptos"/>
          <w:szCs w:val="28"/>
          <w:lang w:val="en-GB" w:eastAsia="zh-CN" w:bidi="th-TH"/>
        </w:rPr>
        <w:t> </w:t>
      </w:r>
      <w:r w:rsidRPr="00CE6B92">
        <w:rPr>
          <w:rFonts w:ascii="Aptos" w:eastAsia="Aptos" w:hAnsi="Aptos" w:cs="Aptos"/>
          <w:szCs w:val="28"/>
          <w:lang w:val="en-GB" w:eastAsia="zh-CN" w:bidi="th-TH"/>
        </w:rPr>
        <w:t xml:space="preserve">framework for cross-national comparative research’, </w:t>
      </w:r>
      <w:r w:rsidRPr="00CE6B92">
        <w:rPr>
          <w:rFonts w:ascii="Aptos" w:eastAsia="Aptos" w:hAnsi="Aptos" w:cs="Aptos"/>
          <w:i/>
          <w:iCs/>
          <w:szCs w:val="28"/>
          <w:lang w:val="en-GB" w:eastAsia="zh-CN" w:bidi="th-TH"/>
        </w:rPr>
        <w:t>The International Journal of Press/Politics</w:t>
      </w:r>
      <w:r w:rsidRPr="00CE6B92">
        <w:rPr>
          <w:rFonts w:ascii="Aptos" w:eastAsia="Aptos" w:hAnsi="Aptos" w:cs="Aptos"/>
          <w:szCs w:val="28"/>
          <w:lang w:val="en-GB" w:eastAsia="zh-CN" w:bidi="th-TH"/>
        </w:rPr>
        <w:t xml:space="preserve">, 25(3): 493–516, </w:t>
      </w:r>
      <w:hyperlink r:id="rId81" w:history="1">
        <w:r w:rsidR="009430E0" w:rsidRPr="00FB763F">
          <w:rPr>
            <w:rStyle w:val="Hyperlink"/>
          </w:rPr>
          <w:t>https://doi.org/10.1177/1940161219900126</w:t>
        </w:r>
      </w:hyperlink>
      <w:r w:rsidRPr="00CE6B92">
        <w:rPr>
          <w:rFonts w:ascii="Aptos" w:eastAsia="Aptos" w:hAnsi="Aptos" w:cs="Aptos"/>
          <w:szCs w:val="28"/>
          <w:lang w:val="en-GB" w:eastAsia="zh-CN" w:bidi="th-TH"/>
        </w:rPr>
        <w:t>.</w:t>
      </w:r>
      <w:r w:rsidR="009430E0">
        <w:rPr>
          <w:rFonts w:ascii="Aptos" w:eastAsia="Aptos" w:hAnsi="Aptos" w:cs="Aptos"/>
          <w:szCs w:val="28"/>
          <w:lang w:val="en-GB" w:eastAsia="zh-CN" w:bidi="th-TH"/>
        </w:rPr>
        <w:t xml:space="preserve"> </w:t>
      </w:r>
      <w:r w:rsidRPr="00CE6B92">
        <w:rPr>
          <w:rFonts w:ascii="Aptos" w:eastAsia="Aptos" w:hAnsi="Aptos" w:cs="Aptos"/>
          <w:szCs w:val="28"/>
          <w:lang w:val="en-GB" w:eastAsia="zh-CN" w:bidi="th-TH"/>
        </w:rPr>
        <w:t xml:space="preserve"> </w:t>
      </w:r>
    </w:p>
    <w:p w14:paraId="4DDC5E7B" w14:textId="26DCBB64" w:rsidR="00CE6B92" w:rsidRPr="00CE6B92" w:rsidRDefault="00CE6B92" w:rsidP="005D7D39">
      <w:pPr>
        <w:rPr>
          <w:rFonts w:ascii="Aptos" w:eastAsia="Aptos" w:hAnsi="Aptos" w:cs="Aptos"/>
          <w:szCs w:val="28"/>
          <w:lang w:val="en-GB" w:eastAsia="zh-CN" w:bidi="th-TH"/>
        </w:rPr>
      </w:pPr>
      <w:proofErr w:type="spellStart"/>
      <w:r w:rsidRPr="00CE6B92">
        <w:rPr>
          <w:rFonts w:ascii="Aptos" w:eastAsia="Aptos" w:hAnsi="Aptos" w:cs="Aptos"/>
          <w:szCs w:val="28"/>
          <w:lang w:val="en-GB" w:eastAsia="zh-CN" w:bidi="th-TH"/>
        </w:rPr>
        <w:t>Humprecht</w:t>
      </w:r>
      <w:proofErr w:type="spellEnd"/>
      <w:r w:rsidRPr="00CE6B92">
        <w:rPr>
          <w:rFonts w:ascii="Aptos" w:eastAsia="Aptos" w:hAnsi="Aptos" w:cs="Aptos"/>
          <w:szCs w:val="28"/>
          <w:lang w:val="en-GB" w:eastAsia="zh-CN" w:bidi="th-TH"/>
        </w:rPr>
        <w:t xml:space="preserve"> E, Esser F, Aelst PV, </w:t>
      </w:r>
      <w:proofErr w:type="spellStart"/>
      <w:r w:rsidRPr="00CE6B92">
        <w:rPr>
          <w:rFonts w:ascii="Aptos" w:eastAsia="Aptos" w:hAnsi="Aptos" w:cs="Aptos"/>
          <w:szCs w:val="28"/>
          <w:lang w:val="en-GB" w:eastAsia="zh-CN" w:bidi="th-TH"/>
        </w:rPr>
        <w:t>Staender</w:t>
      </w:r>
      <w:proofErr w:type="spellEnd"/>
      <w:r w:rsidRPr="00CE6B92">
        <w:rPr>
          <w:rFonts w:ascii="Aptos" w:eastAsia="Aptos" w:hAnsi="Aptos" w:cs="Aptos"/>
          <w:szCs w:val="28"/>
          <w:lang w:val="en-GB" w:eastAsia="zh-CN" w:bidi="th-TH"/>
        </w:rPr>
        <w:t xml:space="preserve"> A and </w:t>
      </w:r>
      <w:proofErr w:type="spellStart"/>
      <w:r w:rsidRPr="00CE6B92">
        <w:rPr>
          <w:rFonts w:ascii="Aptos" w:eastAsia="Aptos" w:hAnsi="Aptos" w:cs="Aptos"/>
          <w:szCs w:val="28"/>
          <w:lang w:val="en-GB" w:eastAsia="zh-CN" w:bidi="th-TH"/>
        </w:rPr>
        <w:t>Morosoli</w:t>
      </w:r>
      <w:proofErr w:type="spellEnd"/>
      <w:r w:rsidRPr="00CE6B92">
        <w:rPr>
          <w:rFonts w:ascii="Aptos" w:eastAsia="Aptos" w:hAnsi="Aptos" w:cs="Aptos"/>
          <w:szCs w:val="28"/>
          <w:lang w:val="en-GB" w:eastAsia="zh-CN" w:bidi="th-TH"/>
        </w:rPr>
        <w:t xml:space="preserve"> S (2021) ‘The sharing of disinformation in cross-national comparison: </w:t>
      </w:r>
      <w:proofErr w:type="spellStart"/>
      <w:r w:rsidRPr="00CE6B92">
        <w:rPr>
          <w:rFonts w:ascii="Aptos" w:eastAsia="Aptos" w:hAnsi="Aptos" w:cs="Aptos"/>
          <w:szCs w:val="28"/>
          <w:lang w:val="en-GB" w:eastAsia="zh-CN" w:bidi="th-TH"/>
        </w:rPr>
        <w:t>Analyzing</w:t>
      </w:r>
      <w:proofErr w:type="spellEnd"/>
      <w:r w:rsidRPr="00CE6B92">
        <w:rPr>
          <w:rFonts w:ascii="Aptos" w:eastAsia="Aptos" w:hAnsi="Aptos" w:cs="Aptos"/>
          <w:szCs w:val="28"/>
          <w:lang w:val="en-GB" w:eastAsia="zh-CN" w:bidi="th-TH"/>
        </w:rPr>
        <w:t xml:space="preserve"> patterns of resilience’, </w:t>
      </w:r>
      <w:r w:rsidRPr="00CE6B92">
        <w:rPr>
          <w:rFonts w:ascii="Aptos" w:eastAsia="Aptos" w:hAnsi="Aptos" w:cs="Aptos"/>
          <w:i/>
          <w:iCs/>
          <w:szCs w:val="28"/>
          <w:lang w:val="en-GB" w:eastAsia="zh-CN" w:bidi="th-TH"/>
        </w:rPr>
        <w:t>Information, Communication &amp; Society</w:t>
      </w:r>
      <w:r w:rsidRPr="00CE6B92">
        <w:rPr>
          <w:rFonts w:ascii="Aptos" w:eastAsia="Aptos" w:hAnsi="Aptos" w:cs="Aptos"/>
          <w:szCs w:val="28"/>
          <w:lang w:val="en-GB" w:eastAsia="zh-CN" w:bidi="th-TH"/>
        </w:rPr>
        <w:t xml:space="preserve">, 26(7):1342–1362, </w:t>
      </w:r>
      <w:hyperlink r:id="rId82" w:history="1">
        <w:r w:rsidR="009430E0" w:rsidRPr="00FB763F">
          <w:rPr>
            <w:rStyle w:val="Hyperlink"/>
          </w:rPr>
          <w:t>https://doi.org/10.1080/1369118X.2021.2006744</w:t>
        </w:r>
      </w:hyperlink>
      <w:r w:rsidRPr="00CE6B92">
        <w:rPr>
          <w:rFonts w:ascii="Aptos" w:eastAsia="Aptos" w:hAnsi="Aptos" w:cs="Aptos"/>
          <w:szCs w:val="28"/>
          <w:lang w:val="en-GB" w:eastAsia="zh-CN" w:bidi="th-TH"/>
        </w:rPr>
        <w:t>.</w:t>
      </w:r>
      <w:r w:rsidR="009430E0">
        <w:rPr>
          <w:rFonts w:ascii="Aptos" w:eastAsia="Aptos" w:hAnsi="Aptos" w:cs="Aptos"/>
          <w:szCs w:val="28"/>
          <w:lang w:val="en-GB" w:eastAsia="zh-CN" w:bidi="th-TH"/>
        </w:rPr>
        <w:t xml:space="preserve"> </w:t>
      </w:r>
      <w:r w:rsidRPr="00CE6B92">
        <w:rPr>
          <w:rFonts w:ascii="Aptos" w:eastAsia="Aptos" w:hAnsi="Aptos" w:cs="Aptos"/>
          <w:szCs w:val="28"/>
          <w:lang w:val="en-GB" w:eastAsia="zh-CN" w:bidi="th-TH"/>
        </w:rPr>
        <w:t xml:space="preserve"> </w:t>
      </w:r>
    </w:p>
    <w:p w14:paraId="1A216EAD" w14:textId="77777777"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Hutchison M (2013) 'Shared authority': Collaboration, curatorial voice and exhibition design in Canberra Australia’, in Golding V and Modest W (eds) </w:t>
      </w:r>
      <w:r w:rsidRPr="00CE6B92">
        <w:rPr>
          <w:rFonts w:ascii="Aptos" w:eastAsia="Aptos" w:hAnsi="Aptos" w:cs="Aptos"/>
          <w:i/>
          <w:iCs/>
          <w:szCs w:val="28"/>
          <w:lang w:val="en-GB" w:eastAsia="zh-CN" w:bidi="th-TH"/>
        </w:rPr>
        <w:t>Museums and communities: Curators, collections and collaboration</w:t>
      </w:r>
      <w:r w:rsidRPr="00CE6B92">
        <w:rPr>
          <w:rFonts w:ascii="Aptos" w:eastAsia="Aptos" w:hAnsi="Aptos" w:cs="Aptos"/>
          <w:szCs w:val="28"/>
          <w:lang w:val="en-GB" w:eastAsia="zh-CN" w:bidi="th-TH"/>
        </w:rPr>
        <w:t xml:space="preserve">, Bloomsbury, London. </w:t>
      </w:r>
    </w:p>
    <w:p w14:paraId="0F9F9C19" w14:textId="6B958AAD"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International Panel on the Information Environment (2024)</w:t>
      </w:r>
      <w:hyperlink r:id="rId83">
        <w:r w:rsidRPr="00D356FE">
          <w:rPr>
            <w:rFonts w:ascii="Aptos" w:eastAsia="Aptos" w:hAnsi="Aptos" w:cs="Aptos"/>
            <w:szCs w:val="28"/>
            <w:lang w:val="en-GB" w:eastAsia="zh-CN" w:bidi="th-TH"/>
          </w:rPr>
          <w:t xml:space="preserve"> </w:t>
        </w:r>
        <w:r w:rsidRPr="00D356FE">
          <w:rPr>
            <w:rStyle w:val="Hyperlink"/>
            <w:i/>
            <w:iCs/>
          </w:rPr>
          <w:t>Trends in the global information environment: 2024 expert survey results</w:t>
        </w:r>
      </w:hyperlink>
      <w:r w:rsidR="00D356FE">
        <w:t xml:space="preserve"> [PDF]</w:t>
      </w:r>
      <w:r w:rsidRPr="00CE6B92">
        <w:rPr>
          <w:rFonts w:ascii="Aptos" w:eastAsia="Aptos" w:hAnsi="Aptos" w:cs="Aptos"/>
          <w:szCs w:val="28"/>
          <w:lang w:val="en-GB" w:eastAsia="zh-CN" w:bidi="th-TH"/>
        </w:rPr>
        <w:t xml:space="preserve">, International Panel on the Information Environment, Zurich. </w:t>
      </w:r>
    </w:p>
    <w:p w14:paraId="793415DD" w14:textId="13FB8632" w:rsidR="00CE6B92" w:rsidRPr="00CE6B92" w:rsidRDefault="00CE6B92" w:rsidP="005D7D39">
      <w:pPr>
        <w:rPr>
          <w:rFonts w:ascii="Aptos" w:eastAsia="Aptos" w:hAnsi="Aptos" w:cs="Aptos"/>
          <w:szCs w:val="28"/>
          <w:lang w:val="en-GB" w:eastAsia="zh-CN" w:bidi="th-TH"/>
        </w:rPr>
      </w:pPr>
      <w:proofErr w:type="spellStart"/>
      <w:r w:rsidRPr="00CE6B92">
        <w:rPr>
          <w:rFonts w:ascii="Aptos" w:eastAsia="Aptos" w:hAnsi="Aptos" w:cs="Aptos"/>
          <w:szCs w:val="28"/>
          <w:lang w:val="en-GB" w:eastAsia="zh-CN" w:bidi="th-TH"/>
        </w:rPr>
        <w:t>Iseke</w:t>
      </w:r>
      <w:proofErr w:type="spellEnd"/>
      <w:r w:rsidRPr="00CE6B92">
        <w:rPr>
          <w:rFonts w:ascii="Aptos" w:eastAsia="Aptos" w:hAnsi="Aptos" w:cs="Aptos"/>
          <w:szCs w:val="28"/>
          <w:lang w:val="en-GB" w:eastAsia="zh-CN" w:bidi="th-TH"/>
        </w:rPr>
        <w:t xml:space="preserve"> J (2013) ‘Indigenous storytelling as research’, </w:t>
      </w:r>
      <w:r w:rsidRPr="00CE6B92">
        <w:rPr>
          <w:rFonts w:ascii="Aptos" w:eastAsia="Aptos" w:hAnsi="Aptos" w:cs="Aptos"/>
          <w:i/>
          <w:iCs/>
          <w:szCs w:val="28"/>
          <w:lang w:val="en-GB" w:eastAsia="zh-CN" w:bidi="th-TH"/>
        </w:rPr>
        <w:t>International Review of Qualitative Research</w:t>
      </w:r>
      <w:r w:rsidRPr="00CE6B92">
        <w:rPr>
          <w:rFonts w:ascii="Aptos" w:eastAsia="Aptos" w:hAnsi="Aptos" w:cs="Aptos"/>
          <w:szCs w:val="28"/>
          <w:lang w:val="en-GB" w:eastAsia="zh-CN" w:bidi="th-TH"/>
        </w:rPr>
        <w:t xml:space="preserve">, 6(4):559– 577, </w:t>
      </w:r>
      <w:hyperlink r:id="rId84">
        <w:r w:rsidR="00D356FE" w:rsidRPr="006405B6">
          <w:rPr>
            <w:rStyle w:val="Hyperlink"/>
            <w:lang w:val="en-GB" w:eastAsia="zh-CN" w:bidi="th-TH"/>
          </w:rPr>
          <w:t>https://doi.org/10.1525/irqr.2013.6.4.559</w:t>
        </w:r>
      </w:hyperlink>
      <w:r w:rsidR="00D356FE">
        <w:rPr>
          <w:rFonts w:ascii="Aptos" w:eastAsia="Aptos" w:hAnsi="Aptos" w:cs="Aptos"/>
          <w:szCs w:val="28"/>
          <w:lang w:val="en-GB" w:eastAsia="zh-CN" w:bidi="th-TH"/>
        </w:rPr>
        <w:t xml:space="preserve">. </w:t>
      </w:r>
      <w:r w:rsidRPr="00CE6B92">
        <w:rPr>
          <w:rFonts w:ascii="Aptos" w:eastAsia="Aptos" w:hAnsi="Aptos" w:cs="Aptos"/>
          <w:szCs w:val="28"/>
          <w:lang w:val="en-GB" w:eastAsia="zh-CN" w:bidi="th-TH"/>
        </w:rPr>
        <w:t xml:space="preserve"> </w:t>
      </w:r>
    </w:p>
    <w:p w14:paraId="5E37B49F" w14:textId="2C22971B"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Jackson VC (2025) ’Knowledge institutions and resisting </w:t>
      </w:r>
      <w:r w:rsidR="001404FB">
        <w:rPr>
          <w:rFonts w:ascii="Aptos" w:eastAsia="Aptos" w:hAnsi="Aptos" w:cs="Aptos"/>
          <w:szCs w:val="28"/>
          <w:lang w:val="en-GB" w:eastAsia="zh-CN" w:bidi="th-TH"/>
        </w:rPr>
        <w:t>‘</w:t>
      </w:r>
      <w:r w:rsidRPr="00CE6B92">
        <w:rPr>
          <w:rFonts w:ascii="Aptos" w:eastAsia="Aptos" w:hAnsi="Aptos" w:cs="Aptos"/>
          <w:szCs w:val="28"/>
          <w:lang w:val="en-GB" w:eastAsia="zh-CN" w:bidi="th-TH"/>
        </w:rPr>
        <w:t>truth decay</w:t>
      </w:r>
      <w:r w:rsidR="001404FB">
        <w:rPr>
          <w:rFonts w:ascii="Aptos" w:eastAsia="Aptos" w:hAnsi="Aptos" w:cs="Aptos"/>
          <w:szCs w:val="28"/>
          <w:lang w:val="en-GB" w:eastAsia="zh-CN" w:bidi="th-TH"/>
        </w:rPr>
        <w:t>’</w:t>
      </w:r>
      <w:r w:rsidRPr="00CE6B92">
        <w:rPr>
          <w:rFonts w:ascii="Aptos" w:eastAsia="Aptos" w:hAnsi="Aptos" w:cs="Aptos"/>
          <w:szCs w:val="28"/>
          <w:lang w:val="en-GB" w:eastAsia="zh-CN" w:bidi="th-TH"/>
        </w:rPr>
        <w:t xml:space="preserve">’, in </w:t>
      </w:r>
      <w:proofErr w:type="spellStart"/>
      <w:r w:rsidRPr="00CE6B92">
        <w:rPr>
          <w:rFonts w:ascii="Aptos" w:eastAsia="Aptos" w:hAnsi="Aptos" w:cs="Aptos"/>
          <w:szCs w:val="28"/>
          <w:lang w:val="en-GB" w:eastAsia="zh-CN" w:bidi="th-TH"/>
        </w:rPr>
        <w:t>Krotoszynski</w:t>
      </w:r>
      <w:proofErr w:type="spellEnd"/>
      <w:r w:rsidRPr="00CE6B92">
        <w:rPr>
          <w:rFonts w:ascii="Aptos" w:eastAsia="Aptos" w:hAnsi="Aptos" w:cs="Aptos"/>
          <w:szCs w:val="28"/>
          <w:lang w:val="en-GB" w:eastAsia="zh-CN" w:bidi="th-TH"/>
        </w:rPr>
        <w:t xml:space="preserve"> RJ, Koltay A and Garden C (eds) </w:t>
      </w:r>
      <w:r w:rsidRPr="00CE6B92">
        <w:rPr>
          <w:rFonts w:ascii="Aptos" w:eastAsia="Aptos" w:hAnsi="Aptos" w:cs="Aptos"/>
          <w:i/>
          <w:iCs/>
          <w:szCs w:val="28"/>
          <w:lang w:val="en-GB" w:eastAsia="zh-CN" w:bidi="th-TH"/>
        </w:rPr>
        <w:t>Disinformation, misinformation, and democracy: Legal approaches in comparative Context,</w:t>
      </w:r>
      <w:r w:rsidRPr="00CE6B92">
        <w:rPr>
          <w:rFonts w:ascii="Aptos" w:eastAsia="Aptos" w:hAnsi="Aptos" w:cs="Aptos"/>
          <w:szCs w:val="28"/>
          <w:lang w:val="en-GB" w:eastAsia="zh-CN" w:bidi="th-TH"/>
        </w:rPr>
        <w:t xml:space="preserve"> Cambridge University Press, Cambridge. </w:t>
      </w:r>
    </w:p>
    <w:p w14:paraId="1A1922FD" w14:textId="51BFC5E6"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Janke T (2018) </w:t>
      </w:r>
      <w:hyperlink r:id="rId85">
        <w:r w:rsidRPr="003A4CD3">
          <w:rPr>
            <w:rStyle w:val="Hyperlink"/>
            <w:i/>
            <w:iCs/>
          </w:rPr>
          <w:t>First Peoples: A roadmap for enhancing Indigenous Engagement in museums and galleries</w:t>
        </w:r>
      </w:hyperlink>
      <w:r w:rsidRPr="00CE6B92">
        <w:rPr>
          <w:rFonts w:ascii="Aptos" w:eastAsia="Aptos" w:hAnsi="Aptos" w:cs="Aptos"/>
          <w:szCs w:val="28"/>
          <w:lang w:val="en-GB" w:eastAsia="zh-CN" w:bidi="th-TH"/>
        </w:rPr>
        <w:t xml:space="preserve">, Australian Museums and Galleries Association. </w:t>
      </w:r>
    </w:p>
    <w:p w14:paraId="515FF49D" w14:textId="3920147E" w:rsidR="00CE6B92" w:rsidRPr="00CE6B92" w:rsidRDefault="00CE6B92" w:rsidP="005D7D39">
      <w:pPr>
        <w:rPr>
          <w:rFonts w:ascii="Aptos" w:eastAsia="Aptos" w:hAnsi="Aptos" w:cs="Aptos"/>
          <w:szCs w:val="28"/>
          <w:lang w:val="en-GB" w:eastAsia="zh-CN" w:bidi="th-TH"/>
        </w:rPr>
      </w:pPr>
      <w:proofErr w:type="spellStart"/>
      <w:r w:rsidRPr="00CE6B92">
        <w:rPr>
          <w:rFonts w:ascii="Aptos" w:eastAsia="Aptos" w:hAnsi="Aptos" w:cs="Aptos"/>
          <w:szCs w:val="28"/>
          <w:lang w:val="en-GB" w:eastAsia="zh-CN" w:bidi="th-TH"/>
        </w:rPr>
        <w:t>Jasinskaja</w:t>
      </w:r>
      <w:proofErr w:type="spellEnd"/>
      <w:r w:rsidRPr="00CE6B92">
        <w:rPr>
          <w:rFonts w:ascii="Aptos" w:eastAsia="Aptos" w:hAnsi="Aptos" w:cs="Aptos"/>
          <w:szCs w:val="28"/>
          <w:lang w:val="en-GB" w:eastAsia="zh-CN" w:bidi="th-TH"/>
        </w:rPr>
        <w:t xml:space="preserve">-Lahti I and Jetten J (2019) ‘Unpacking the relationship between religiosity and conspiracy beliefs in Australia’, </w:t>
      </w:r>
      <w:r w:rsidRPr="00CE6B92">
        <w:rPr>
          <w:rFonts w:ascii="Aptos" w:eastAsia="Aptos" w:hAnsi="Aptos" w:cs="Aptos"/>
          <w:i/>
          <w:iCs/>
          <w:szCs w:val="28"/>
          <w:lang w:val="en-GB" w:eastAsia="zh-CN" w:bidi="th-TH"/>
        </w:rPr>
        <w:t xml:space="preserve">British Journal of Social Psychology, </w:t>
      </w:r>
      <w:r w:rsidRPr="00CE6B92">
        <w:rPr>
          <w:rFonts w:ascii="Aptos" w:eastAsia="Aptos" w:hAnsi="Aptos" w:cs="Aptos"/>
          <w:szCs w:val="28"/>
          <w:lang w:val="en-GB" w:eastAsia="zh-CN" w:bidi="th-TH"/>
        </w:rPr>
        <w:t>58(4):938–954,</w:t>
      </w:r>
      <w:r w:rsidR="006618C6" w:rsidRPr="006618C6">
        <w:t xml:space="preserve"> </w:t>
      </w:r>
      <w:hyperlink r:id="rId86" w:history="1">
        <w:r w:rsidR="00294A00" w:rsidRPr="00FB763F">
          <w:rPr>
            <w:rStyle w:val="Hyperlink"/>
          </w:rPr>
          <w:t>https://doi.org/10.1111/bjso.12314</w:t>
        </w:r>
      </w:hyperlink>
      <w:r w:rsidRPr="006618C6">
        <w:rPr>
          <w:rFonts w:ascii="Aptos" w:eastAsia="Aptos" w:hAnsi="Aptos" w:cs="Aptos"/>
          <w:szCs w:val="28"/>
          <w:lang w:val="en-GB" w:eastAsia="zh-CN" w:bidi="th-TH"/>
        </w:rPr>
        <w:t>.</w:t>
      </w:r>
      <w:r w:rsidR="006618C6">
        <w:rPr>
          <w:rFonts w:ascii="Aptos" w:eastAsia="Aptos" w:hAnsi="Aptos" w:cs="Aptos"/>
          <w:szCs w:val="28"/>
          <w:lang w:val="en-GB" w:eastAsia="zh-CN" w:bidi="th-TH"/>
        </w:rPr>
        <w:t xml:space="preserve"> </w:t>
      </w:r>
      <w:r w:rsidRPr="00CE6B92">
        <w:rPr>
          <w:rFonts w:ascii="Aptos" w:eastAsia="Aptos" w:hAnsi="Aptos" w:cs="Aptos"/>
          <w:szCs w:val="28"/>
          <w:lang w:val="en-GB" w:eastAsia="zh-CN" w:bidi="th-TH"/>
        </w:rPr>
        <w:t xml:space="preserve"> </w:t>
      </w:r>
    </w:p>
    <w:p w14:paraId="6938076B" w14:textId="244456DC"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Jimenez A, Vannini S and Cox A (2022) ‘A holistic decolonial lens for library and information studies’, </w:t>
      </w:r>
      <w:r w:rsidRPr="00CE6B92">
        <w:rPr>
          <w:rFonts w:ascii="Aptos" w:eastAsia="Aptos" w:hAnsi="Aptos" w:cs="Aptos"/>
          <w:i/>
          <w:iCs/>
          <w:szCs w:val="28"/>
          <w:lang w:val="en-GB" w:eastAsia="zh-CN" w:bidi="th-TH"/>
        </w:rPr>
        <w:t>Journal of Documentation</w:t>
      </w:r>
      <w:r w:rsidRPr="00CE6B92">
        <w:rPr>
          <w:rFonts w:ascii="Aptos" w:eastAsia="Aptos" w:hAnsi="Aptos" w:cs="Aptos"/>
          <w:szCs w:val="28"/>
          <w:lang w:val="en-GB" w:eastAsia="zh-CN" w:bidi="th-TH"/>
        </w:rPr>
        <w:t>, 79(1):224–244,</w:t>
      </w:r>
      <w:hyperlink r:id="rId87">
        <w:r w:rsidRPr="00CE6B92">
          <w:rPr>
            <w:rFonts w:ascii="Aptos" w:eastAsia="Aptos" w:hAnsi="Aptos" w:cs="Aptos"/>
            <w:szCs w:val="28"/>
            <w:u w:val="single"/>
            <w:lang w:val="en-GB" w:eastAsia="zh-CN" w:bidi="th-TH"/>
          </w:rPr>
          <w:t xml:space="preserve"> </w:t>
        </w:r>
      </w:hyperlink>
      <w:r w:rsidR="00294A00" w:rsidRPr="00294A00">
        <w:t xml:space="preserve"> </w:t>
      </w:r>
      <w:hyperlink r:id="rId88" w:history="1">
        <w:r w:rsidR="00294A00" w:rsidRPr="00FB763F">
          <w:rPr>
            <w:rStyle w:val="Hyperlink"/>
          </w:rPr>
          <w:t>https://doi.org/10.1108/JD-10-2021-0205</w:t>
        </w:r>
      </w:hyperlink>
      <w:r w:rsidRPr="00294A00">
        <w:rPr>
          <w:rFonts w:ascii="Aptos" w:eastAsia="Aptos" w:hAnsi="Aptos" w:cs="Aptos"/>
          <w:szCs w:val="28"/>
          <w:lang w:val="en-GB" w:eastAsia="zh-CN" w:bidi="th-TH"/>
        </w:rPr>
        <w:t>.</w:t>
      </w:r>
      <w:r w:rsidR="00294A00">
        <w:rPr>
          <w:rFonts w:ascii="Aptos" w:eastAsia="Aptos" w:hAnsi="Aptos" w:cs="Aptos"/>
          <w:szCs w:val="28"/>
          <w:lang w:val="en-GB" w:eastAsia="zh-CN" w:bidi="th-TH"/>
        </w:rPr>
        <w:t xml:space="preserve"> </w:t>
      </w:r>
      <w:r w:rsidRPr="00294A00">
        <w:rPr>
          <w:rFonts w:ascii="Aptos" w:eastAsia="Aptos" w:hAnsi="Aptos" w:cs="Aptos"/>
          <w:szCs w:val="28"/>
          <w:lang w:val="en-GB" w:eastAsia="zh-CN" w:bidi="th-TH"/>
        </w:rPr>
        <w:t xml:space="preserve"> </w:t>
      </w:r>
    </w:p>
    <w:p w14:paraId="258192A7" w14:textId="256A06AE"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Johns</w:t>
      </w:r>
      <w:r w:rsidR="00E30919">
        <w:rPr>
          <w:rFonts w:ascii="Aptos" w:eastAsia="Aptos" w:hAnsi="Aptos" w:cs="Aptos"/>
          <w:szCs w:val="28"/>
          <w:lang w:val="en-GB" w:eastAsia="zh-CN" w:bidi="th-TH"/>
        </w:rPr>
        <w:t>t</w:t>
      </w:r>
      <w:r w:rsidRPr="00CE6B92">
        <w:rPr>
          <w:rFonts w:ascii="Aptos" w:eastAsia="Aptos" w:hAnsi="Aptos" w:cs="Aptos"/>
          <w:szCs w:val="28"/>
          <w:lang w:val="en-GB" w:eastAsia="zh-CN" w:bidi="th-TH"/>
        </w:rPr>
        <w:t xml:space="preserve">on N (2023) ‘The impact and management of mis/disinformation at university libraries in Australia’, </w:t>
      </w:r>
      <w:r w:rsidRPr="00CE6B92">
        <w:rPr>
          <w:rFonts w:ascii="Aptos" w:eastAsia="Aptos" w:hAnsi="Aptos" w:cs="Aptos"/>
          <w:i/>
          <w:iCs/>
          <w:szCs w:val="28"/>
          <w:lang w:val="en-GB" w:eastAsia="zh-CN" w:bidi="th-TH"/>
        </w:rPr>
        <w:t>Journal of the Australian Library and Information Association,</w:t>
      </w:r>
      <w:r w:rsidRPr="00CE6B92">
        <w:rPr>
          <w:rFonts w:ascii="Aptos" w:eastAsia="Aptos" w:hAnsi="Aptos" w:cs="Aptos"/>
          <w:szCs w:val="28"/>
          <w:lang w:val="en-GB" w:eastAsia="zh-CN" w:bidi="th-TH"/>
        </w:rPr>
        <w:t xml:space="preserve"> 72(3):251–269, </w:t>
      </w:r>
      <w:hyperlink r:id="rId89" w:history="1">
        <w:r w:rsidR="00E30919" w:rsidRPr="00FB763F">
          <w:rPr>
            <w:rStyle w:val="Hyperlink"/>
          </w:rPr>
          <w:t>https://doi.org/10.1080/24750158.2023.2235646</w:t>
        </w:r>
      </w:hyperlink>
      <w:r w:rsidR="00F202C0">
        <w:t>.</w:t>
      </w:r>
      <w:r w:rsidR="00E30919">
        <w:t xml:space="preserve"> </w:t>
      </w:r>
    </w:p>
    <w:p w14:paraId="76E3D107" w14:textId="77777777"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Joint Standing Committee on the National Capital and External Territories (2019)</w:t>
      </w:r>
      <w:r w:rsidRPr="00CE6B92">
        <w:rPr>
          <w:rFonts w:ascii="Aptos" w:eastAsia="Aptos" w:hAnsi="Aptos" w:cs="Aptos"/>
          <w:i/>
          <w:iCs/>
          <w:szCs w:val="28"/>
          <w:lang w:val="en-GB" w:eastAsia="zh-CN" w:bidi="th-TH"/>
        </w:rPr>
        <w:t xml:space="preserve"> </w:t>
      </w:r>
      <w:hyperlink r:id="rId90">
        <w:r w:rsidRPr="00F872F8">
          <w:rPr>
            <w:rStyle w:val="Hyperlink"/>
            <w:i/>
            <w:iCs/>
          </w:rPr>
          <w:t>Telling Australia’s story – and why it is important: Report of the inquiry into Canberra’s national institutions</w:t>
        </w:r>
      </w:hyperlink>
      <w:r w:rsidRPr="00CE6B92">
        <w:rPr>
          <w:rFonts w:ascii="Aptos" w:eastAsia="Aptos" w:hAnsi="Aptos" w:cs="Aptos"/>
          <w:szCs w:val="28"/>
          <w:lang w:val="en-GB" w:eastAsia="zh-CN" w:bidi="th-TH"/>
        </w:rPr>
        <w:t xml:space="preserve">, Commonwealth of Australia, Canberra. </w:t>
      </w:r>
    </w:p>
    <w:p w14:paraId="1CD6FADF" w14:textId="77777777" w:rsidR="00CE6B92" w:rsidRPr="00CE6B92" w:rsidRDefault="00CE6B92" w:rsidP="005D7D39">
      <w:pPr>
        <w:rPr>
          <w:rFonts w:ascii="Aptos" w:eastAsia="Aptos" w:hAnsi="Aptos" w:cs="Aptos"/>
          <w:szCs w:val="28"/>
          <w:lang w:val="en-GB" w:eastAsia="zh-CN" w:bidi="th-TH"/>
        </w:rPr>
      </w:pPr>
      <w:r w:rsidRPr="00141FF5">
        <w:rPr>
          <w:rFonts w:ascii="Aptos" w:eastAsia="Aptos" w:hAnsi="Aptos" w:cs="Aptos"/>
          <w:szCs w:val="28"/>
          <w:lang w:val="en-GB" w:eastAsia="zh-CN" w:bidi="th-TH"/>
        </w:rPr>
        <w:t>Jones BT (26 January 2023)</w:t>
      </w:r>
      <w:r w:rsidRPr="00CE6B92">
        <w:rPr>
          <w:rFonts w:ascii="Aptos" w:eastAsia="Aptos" w:hAnsi="Aptos" w:cs="Aptos"/>
          <w:szCs w:val="28"/>
          <w:lang w:val="en-GB" w:eastAsia="zh-CN" w:bidi="th-TH"/>
        </w:rPr>
        <w:t xml:space="preserve"> ‘</w:t>
      </w:r>
      <w:hyperlink r:id="rId91">
        <w:r w:rsidRPr="007E36E7">
          <w:rPr>
            <w:rStyle w:val="Hyperlink"/>
          </w:rPr>
          <w:t>Australia Day wasn’t always January 26, but it was always an issue</w:t>
        </w:r>
      </w:hyperlink>
      <w:r w:rsidRPr="00CE6B92">
        <w:rPr>
          <w:rFonts w:ascii="Aptos" w:eastAsia="Aptos" w:hAnsi="Aptos" w:cs="Aptos"/>
          <w:szCs w:val="28"/>
          <w:lang w:val="en-GB" w:eastAsia="zh-CN" w:bidi="th-TH"/>
        </w:rPr>
        <w:t xml:space="preserve">’, </w:t>
      </w:r>
      <w:r w:rsidRPr="00CE6B92">
        <w:rPr>
          <w:rFonts w:ascii="Aptos" w:eastAsia="Aptos" w:hAnsi="Aptos" w:cs="Aptos"/>
          <w:i/>
          <w:iCs/>
          <w:szCs w:val="28"/>
          <w:lang w:val="en-GB" w:eastAsia="zh-CN" w:bidi="th-TH"/>
        </w:rPr>
        <w:t xml:space="preserve">The Conversation, </w:t>
      </w:r>
      <w:r w:rsidRPr="00CE6B92">
        <w:rPr>
          <w:rFonts w:ascii="Aptos" w:eastAsia="Aptos" w:hAnsi="Aptos" w:cs="Aptos"/>
          <w:szCs w:val="28"/>
          <w:lang w:val="en-GB" w:eastAsia="zh-CN" w:bidi="th-TH"/>
        </w:rPr>
        <w:t xml:space="preserve">accessed 19 December 2024. </w:t>
      </w:r>
    </w:p>
    <w:p w14:paraId="7E630444" w14:textId="77777777" w:rsidR="00CE6B92" w:rsidRPr="00CE6B92" w:rsidRDefault="00CE6B92" w:rsidP="005D7D39">
      <w:pPr>
        <w:rPr>
          <w:rFonts w:ascii="Aptos" w:eastAsia="Aptos" w:hAnsi="Aptos" w:cs="Aptos"/>
          <w:szCs w:val="28"/>
          <w:lang w:val="en-GB" w:eastAsia="zh-CN" w:bidi="th-TH"/>
        </w:rPr>
      </w:pPr>
      <w:proofErr w:type="spellStart"/>
      <w:r w:rsidRPr="00CE6B92">
        <w:rPr>
          <w:rFonts w:ascii="Aptos" w:eastAsia="Aptos" w:hAnsi="Aptos" w:cs="Aptos"/>
          <w:szCs w:val="28"/>
          <w:lang w:val="en-GB" w:eastAsia="zh-CN" w:bidi="th-TH"/>
        </w:rPr>
        <w:lastRenderedPageBreak/>
        <w:t>Klimtman</w:t>
      </w:r>
      <w:proofErr w:type="spellEnd"/>
      <w:r w:rsidRPr="00CE6B92">
        <w:rPr>
          <w:rFonts w:ascii="Aptos" w:eastAsia="Aptos" w:hAnsi="Aptos" w:cs="Aptos"/>
          <w:szCs w:val="28"/>
          <w:lang w:val="en-GB" w:eastAsia="zh-CN" w:bidi="th-TH"/>
        </w:rPr>
        <w:t xml:space="preserve"> M (2019) </w:t>
      </w:r>
      <w:r w:rsidRPr="00CE6B92">
        <w:rPr>
          <w:rFonts w:ascii="Aptos" w:eastAsia="Aptos" w:hAnsi="Aptos" w:cs="Aptos"/>
          <w:i/>
          <w:iCs/>
          <w:szCs w:val="28"/>
          <w:lang w:val="en-GB" w:eastAsia="zh-CN" w:bidi="th-TH"/>
        </w:rPr>
        <w:t xml:space="preserve">Knowledge resistance: How we avoid insights from others, </w:t>
      </w:r>
      <w:r w:rsidRPr="00CE6B92">
        <w:rPr>
          <w:rFonts w:ascii="Aptos" w:eastAsia="Aptos" w:hAnsi="Aptos" w:cs="Aptos"/>
          <w:szCs w:val="28"/>
          <w:lang w:val="en-GB" w:eastAsia="zh-CN" w:bidi="th-TH"/>
        </w:rPr>
        <w:t xml:space="preserve">Manchester University Press, Manchester. </w:t>
      </w:r>
    </w:p>
    <w:p w14:paraId="37A79AF1" w14:textId="368EBCDC"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La Trobe University (2025) </w:t>
      </w:r>
      <w:hyperlink r:id="rId92">
        <w:r w:rsidRPr="00740D1B">
          <w:rPr>
            <w:rStyle w:val="Hyperlink"/>
            <w:i/>
            <w:iCs/>
          </w:rPr>
          <w:t>Centre for the Study of the Inland</w:t>
        </w:r>
      </w:hyperlink>
      <w:r w:rsidRPr="00CE6B92">
        <w:rPr>
          <w:rFonts w:ascii="Aptos" w:eastAsia="Aptos" w:hAnsi="Aptos" w:cs="Aptos"/>
          <w:szCs w:val="28"/>
          <w:lang w:val="en-GB" w:eastAsia="zh-CN" w:bidi="th-TH"/>
        </w:rPr>
        <w:t xml:space="preserve"> [website], accessed 15</w:t>
      </w:r>
      <w:r w:rsidR="00EA5229">
        <w:rPr>
          <w:rFonts w:ascii="Aptos" w:eastAsia="Aptos" w:hAnsi="Aptos" w:cs="Aptos"/>
          <w:szCs w:val="28"/>
          <w:lang w:val="en-GB" w:eastAsia="zh-CN" w:bidi="th-TH"/>
        </w:rPr>
        <w:t> </w:t>
      </w:r>
      <w:r w:rsidRPr="00CE6B92">
        <w:rPr>
          <w:rFonts w:ascii="Aptos" w:eastAsia="Aptos" w:hAnsi="Aptos" w:cs="Aptos"/>
          <w:szCs w:val="28"/>
          <w:lang w:val="en-GB" w:eastAsia="zh-CN" w:bidi="th-TH"/>
        </w:rPr>
        <w:t xml:space="preserve">December 2024. </w:t>
      </w:r>
    </w:p>
    <w:p w14:paraId="33EFDB4E" w14:textId="365DF18A"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Lachlan K, Hutter E and Gilbert C (2021) ‘COVID-19 echo chambers: Examining the impact of conservative and liberal news sources on risk perception and response’, </w:t>
      </w:r>
      <w:r w:rsidRPr="00CE6B92">
        <w:rPr>
          <w:rFonts w:ascii="Aptos" w:eastAsia="Aptos" w:hAnsi="Aptos" w:cs="Aptos"/>
          <w:i/>
          <w:iCs/>
          <w:szCs w:val="28"/>
          <w:lang w:val="en-GB" w:eastAsia="zh-CN" w:bidi="th-TH"/>
        </w:rPr>
        <w:t>Health Security</w:t>
      </w:r>
      <w:r w:rsidRPr="00CE6B92">
        <w:rPr>
          <w:rFonts w:ascii="Aptos" w:eastAsia="Aptos" w:hAnsi="Aptos" w:cs="Aptos"/>
          <w:szCs w:val="28"/>
          <w:lang w:val="en-GB" w:eastAsia="zh-CN" w:bidi="th-TH"/>
        </w:rPr>
        <w:t>, 19(1):21–30,</w:t>
      </w:r>
      <w:hyperlink r:id="rId93">
        <w:r w:rsidRPr="005754DB">
          <w:rPr>
            <w:rStyle w:val="Hyperlink"/>
          </w:rPr>
          <w:t xml:space="preserve"> </w:t>
        </w:r>
        <w:r w:rsidR="005754DB" w:rsidRPr="005754DB">
          <w:rPr>
            <w:rStyle w:val="Hyperlink"/>
            <w:lang w:val="en-GB" w:eastAsia="zh-CN" w:bidi="th-TH"/>
          </w:rPr>
          <w:t>https://doi.org/10.1089/hs.2020.0176</w:t>
        </w:r>
      </w:hyperlink>
      <w:r w:rsidRPr="00CE6B92">
        <w:rPr>
          <w:rFonts w:ascii="Aptos" w:eastAsia="Aptos" w:hAnsi="Aptos" w:cs="Aptos"/>
          <w:szCs w:val="28"/>
          <w:lang w:val="en-GB" w:eastAsia="zh-CN" w:bidi="th-TH"/>
        </w:rPr>
        <w:t>.</w:t>
      </w:r>
    </w:p>
    <w:p w14:paraId="13BD0B51" w14:textId="0EB43470"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Lee J, Aldrich DP, Kiyota E, Tanaka Y and </w:t>
      </w:r>
      <w:r w:rsidR="00F864B4">
        <w:rPr>
          <w:rFonts w:ascii="Aptos" w:eastAsia="Aptos" w:hAnsi="Aptos" w:cs="Aptos"/>
          <w:szCs w:val="28"/>
          <w:lang w:val="en-GB" w:eastAsia="zh-CN" w:bidi="th-TH"/>
        </w:rPr>
        <w:t xml:space="preserve">Sawada </w:t>
      </w:r>
      <w:r w:rsidRPr="00CE6B92">
        <w:rPr>
          <w:rFonts w:ascii="Aptos" w:eastAsia="Aptos" w:hAnsi="Aptos" w:cs="Aptos"/>
          <w:szCs w:val="28"/>
          <w:lang w:val="en-GB" w:eastAsia="zh-CN" w:bidi="th-TH"/>
        </w:rPr>
        <w:t xml:space="preserve">Y (2022) ‘Social capital building interventions and self-reported post-disaster recovery in </w:t>
      </w:r>
      <w:proofErr w:type="spellStart"/>
      <w:r w:rsidRPr="00CE6B92">
        <w:rPr>
          <w:rFonts w:ascii="Aptos" w:eastAsia="Aptos" w:hAnsi="Aptos" w:cs="Aptos"/>
          <w:szCs w:val="28"/>
          <w:lang w:val="en-GB" w:eastAsia="zh-CN" w:bidi="th-TH"/>
        </w:rPr>
        <w:t>Ofunato</w:t>
      </w:r>
      <w:proofErr w:type="spellEnd"/>
      <w:r w:rsidRPr="00CE6B92">
        <w:rPr>
          <w:rFonts w:ascii="Aptos" w:eastAsia="Aptos" w:hAnsi="Aptos" w:cs="Aptos"/>
          <w:szCs w:val="28"/>
          <w:lang w:val="en-GB" w:eastAsia="zh-CN" w:bidi="th-TH"/>
        </w:rPr>
        <w:t xml:space="preserve">, Japan’ </w:t>
      </w:r>
      <w:r w:rsidRPr="00CE6B92">
        <w:rPr>
          <w:rFonts w:ascii="Aptos" w:eastAsia="Aptos" w:hAnsi="Aptos" w:cs="Aptos"/>
          <w:i/>
          <w:iCs/>
          <w:szCs w:val="28"/>
          <w:lang w:val="en-GB" w:eastAsia="zh-CN" w:bidi="th-TH"/>
        </w:rPr>
        <w:t xml:space="preserve">Scientific Reports, </w:t>
      </w:r>
      <w:r w:rsidRPr="00CE6B92">
        <w:rPr>
          <w:rFonts w:ascii="Aptos" w:eastAsia="Aptos" w:hAnsi="Aptos" w:cs="Aptos"/>
          <w:szCs w:val="28"/>
          <w:lang w:val="en-GB" w:eastAsia="zh-CN" w:bidi="th-TH"/>
        </w:rPr>
        <w:t>1</w:t>
      </w:r>
      <w:r w:rsidR="005754DB">
        <w:rPr>
          <w:rFonts w:ascii="Aptos" w:eastAsia="Aptos" w:hAnsi="Aptos" w:cs="Aptos"/>
          <w:szCs w:val="28"/>
          <w:lang w:val="en-GB" w:eastAsia="zh-CN" w:bidi="th-TH"/>
        </w:rPr>
        <w:t>2:</w:t>
      </w:r>
      <w:r w:rsidRPr="00CE6B92">
        <w:rPr>
          <w:rFonts w:ascii="Aptos" w:eastAsia="Aptos" w:hAnsi="Aptos" w:cs="Aptos"/>
          <w:szCs w:val="28"/>
          <w:lang w:val="en-GB" w:eastAsia="zh-CN" w:bidi="th-TH"/>
        </w:rPr>
        <w:t xml:space="preserve">10274, </w:t>
      </w:r>
      <w:hyperlink r:id="rId94" w:history="1">
        <w:r w:rsidR="005754DB" w:rsidRPr="00FB763F">
          <w:rPr>
            <w:rStyle w:val="Hyperlink"/>
          </w:rPr>
          <w:t>https://doi.org/10.1038/s41598-022-14537-8</w:t>
        </w:r>
      </w:hyperlink>
      <w:r w:rsidRPr="00CE6B92">
        <w:rPr>
          <w:rFonts w:ascii="Aptos" w:eastAsia="Aptos" w:hAnsi="Aptos" w:cs="Aptos"/>
          <w:szCs w:val="28"/>
          <w:lang w:val="en-GB" w:eastAsia="zh-CN" w:bidi="th-TH"/>
        </w:rPr>
        <w:t>.</w:t>
      </w:r>
      <w:r w:rsidR="005754DB">
        <w:rPr>
          <w:rFonts w:ascii="Aptos" w:eastAsia="Aptos" w:hAnsi="Aptos" w:cs="Aptos"/>
          <w:szCs w:val="28"/>
          <w:lang w:val="en-GB" w:eastAsia="zh-CN" w:bidi="th-TH"/>
        </w:rPr>
        <w:t xml:space="preserve"> </w:t>
      </w:r>
      <w:r w:rsidRPr="00CE6B92">
        <w:rPr>
          <w:rFonts w:ascii="Aptos" w:eastAsia="Aptos" w:hAnsi="Aptos" w:cs="Aptos"/>
          <w:szCs w:val="28"/>
          <w:lang w:val="en-GB" w:eastAsia="zh-CN" w:bidi="th-TH"/>
        </w:rPr>
        <w:t xml:space="preserve"> </w:t>
      </w:r>
    </w:p>
    <w:p w14:paraId="5667DCF2" w14:textId="5C42364F" w:rsidR="00CE6B92" w:rsidRPr="00CE6B92" w:rsidRDefault="00CE6B92" w:rsidP="005D7D39">
      <w:pPr>
        <w:shd w:val="clear" w:color="auto" w:fill="FFFFFF"/>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Leigh A and Terrell N (2020) </w:t>
      </w:r>
      <w:r w:rsidRPr="00CE6B92">
        <w:rPr>
          <w:rFonts w:ascii="Aptos" w:eastAsia="Aptos" w:hAnsi="Aptos" w:cs="Aptos"/>
          <w:i/>
          <w:iCs/>
          <w:szCs w:val="28"/>
          <w:lang w:val="en-GB" w:eastAsia="zh-CN" w:bidi="th-TH"/>
        </w:rPr>
        <w:t xml:space="preserve">Reconnected: A community builder’s handbook, </w:t>
      </w:r>
      <w:r w:rsidRPr="00CE6B92">
        <w:rPr>
          <w:rFonts w:ascii="Aptos" w:eastAsia="Aptos" w:hAnsi="Aptos" w:cs="Aptos"/>
          <w:szCs w:val="28"/>
          <w:lang w:val="en-GB" w:eastAsia="zh-CN" w:bidi="th-TH"/>
        </w:rPr>
        <w:t>La Tro</w:t>
      </w:r>
      <w:r w:rsidR="00ED43A6">
        <w:rPr>
          <w:rFonts w:ascii="Aptos" w:eastAsia="Aptos" w:hAnsi="Aptos" w:cs="Aptos"/>
          <w:szCs w:val="28"/>
          <w:lang w:val="en-GB" w:eastAsia="zh-CN" w:bidi="th-TH"/>
        </w:rPr>
        <w:t>b</w:t>
      </w:r>
      <w:r w:rsidRPr="00CE6B92">
        <w:rPr>
          <w:rFonts w:ascii="Aptos" w:eastAsia="Aptos" w:hAnsi="Aptos" w:cs="Aptos"/>
          <w:szCs w:val="28"/>
          <w:lang w:val="en-GB" w:eastAsia="zh-CN" w:bidi="th-TH"/>
        </w:rPr>
        <w:t>e University Press, Melbourne.</w:t>
      </w:r>
    </w:p>
    <w:p w14:paraId="6994046E" w14:textId="4C67AFA8"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Lewandowsky S, Cook J, </w:t>
      </w:r>
      <w:proofErr w:type="spellStart"/>
      <w:r w:rsidRPr="00CE6B92">
        <w:rPr>
          <w:rFonts w:ascii="Aptos" w:eastAsia="Aptos" w:hAnsi="Aptos" w:cs="Aptos"/>
          <w:szCs w:val="28"/>
          <w:lang w:val="en-GB" w:eastAsia="zh-CN" w:bidi="th-TH"/>
        </w:rPr>
        <w:t>Oberauer</w:t>
      </w:r>
      <w:proofErr w:type="spellEnd"/>
      <w:r w:rsidRPr="00CE6B92">
        <w:rPr>
          <w:rFonts w:ascii="Aptos" w:eastAsia="Aptos" w:hAnsi="Aptos" w:cs="Aptos"/>
          <w:szCs w:val="28"/>
          <w:lang w:val="en-GB" w:eastAsia="zh-CN" w:bidi="th-TH"/>
        </w:rPr>
        <w:t xml:space="preserve"> K, Brophy S, Lloyd EA, and Marriott M (2015). ‘Recurrent fury: Conspiratorial discourse in the blogosphere triggered by research on the role of conspiracist ideation in climate denial’, </w:t>
      </w:r>
      <w:r w:rsidRPr="00CE6B92">
        <w:rPr>
          <w:rFonts w:ascii="Aptos" w:eastAsia="Aptos" w:hAnsi="Aptos" w:cs="Aptos"/>
          <w:i/>
          <w:iCs/>
          <w:szCs w:val="28"/>
          <w:lang w:val="en-GB" w:eastAsia="zh-CN" w:bidi="th-TH"/>
        </w:rPr>
        <w:t>Journal of Social and Political Psychology</w:t>
      </w:r>
      <w:r w:rsidRPr="00CE6B92">
        <w:rPr>
          <w:rFonts w:ascii="Aptos" w:eastAsia="Aptos" w:hAnsi="Aptos" w:cs="Aptos"/>
          <w:szCs w:val="28"/>
          <w:lang w:val="en-GB" w:eastAsia="zh-CN" w:bidi="th-TH"/>
        </w:rPr>
        <w:t xml:space="preserve">, 3(1):142–178, </w:t>
      </w:r>
      <w:hyperlink r:id="rId95" w:history="1">
        <w:r w:rsidR="00045517" w:rsidRPr="00FB763F">
          <w:rPr>
            <w:rStyle w:val="Hyperlink"/>
          </w:rPr>
          <w:t>https://doi.org/10.5964/jspp.v3i1.443</w:t>
        </w:r>
      </w:hyperlink>
      <w:r w:rsidRPr="00CE6B92">
        <w:rPr>
          <w:rFonts w:ascii="Aptos" w:eastAsia="Aptos" w:hAnsi="Aptos" w:cs="Aptos"/>
          <w:szCs w:val="28"/>
          <w:lang w:val="en-GB" w:eastAsia="zh-CN" w:bidi="th-TH"/>
        </w:rPr>
        <w:t>.</w:t>
      </w:r>
      <w:r w:rsidR="00045517">
        <w:rPr>
          <w:rFonts w:ascii="Aptos" w:eastAsia="Aptos" w:hAnsi="Aptos" w:cs="Aptos"/>
          <w:szCs w:val="28"/>
          <w:lang w:val="en-GB" w:eastAsia="zh-CN" w:bidi="th-TH"/>
        </w:rPr>
        <w:t xml:space="preserve"> </w:t>
      </w:r>
      <w:r w:rsidRPr="00CE6B92">
        <w:rPr>
          <w:rFonts w:ascii="Aptos" w:eastAsia="Aptos" w:hAnsi="Aptos" w:cs="Aptos"/>
          <w:szCs w:val="28"/>
          <w:lang w:val="en-GB" w:eastAsia="zh-CN" w:bidi="th-TH"/>
        </w:rPr>
        <w:t xml:space="preserve"> </w:t>
      </w:r>
    </w:p>
    <w:p w14:paraId="6E7AEBF7" w14:textId="77777777"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MacDowell L, Badham M, Blomkamp E and Dunphy K (eds) (2015) </w:t>
      </w:r>
      <w:r w:rsidRPr="00CE6B92">
        <w:rPr>
          <w:rFonts w:ascii="Aptos" w:eastAsia="Aptos" w:hAnsi="Aptos" w:cs="Aptos"/>
          <w:i/>
          <w:iCs/>
          <w:szCs w:val="28"/>
          <w:lang w:val="en-GB" w:eastAsia="zh-CN" w:bidi="th-TH"/>
        </w:rPr>
        <w:t xml:space="preserve">Making culture count: The politics of cultural measurement, </w:t>
      </w:r>
      <w:r w:rsidRPr="00CE6B92">
        <w:rPr>
          <w:rFonts w:ascii="Aptos" w:eastAsia="Aptos" w:hAnsi="Aptos" w:cs="Aptos"/>
          <w:szCs w:val="28"/>
          <w:lang w:val="en-GB" w:eastAsia="zh-CN" w:bidi="th-TH"/>
        </w:rPr>
        <w:t xml:space="preserve">Palgrave Macmillan, New York. </w:t>
      </w:r>
    </w:p>
    <w:p w14:paraId="7CBB542B" w14:textId="4A46E72F" w:rsidR="00CE6B92" w:rsidRPr="00CE6B92" w:rsidRDefault="00CE6B92" w:rsidP="005D7D39">
      <w:pPr>
        <w:rPr>
          <w:rFonts w:ascii="Aptos" w:eastAsia="Aptos" w:hAnsi="Aptos" w:cs="Aptos"/>
          <w:szCs w:val="28"/>
          <w:lang w:val="en-GB" w:eastAsia="zh-CN" w:bidi="th-TH"/>
        </w:rPr>
      </w:pPr>
      <w:proofErr w:type="spellStart"/>
      <w:r w:rsidRPr="00CE6B92">
        <w:rPr>
          <w:rFonts w:ascii="Aptos" w:eastAsia="Aptos" w:hAnsi="Aptos" w:cs="Aptos"/>
          <w:szCs w:val="28"/>
          <w:lang w:val="en-GB" w:eastAsia="zh-CN" w:bidi="th-TH"/>
        </w:rPr>
        <w:t>Mamtora</w:t>
      </w:r>
      <w:proofErr w:type="spellEnd"/>
      <w:r w:rsidRPr="00CE6B92">
        <w:rPr>
          <w:rFonts w:ascii="Aptos" w:eastAsia="Aptos" w:hAnsi="Aptos" w:cs="Aptos"/>
          <w:szCs w:val="28"/>
          <w:lang w:val="en-GB" w:eastAsia="zh-CN" w:bidi="th-TH"/>
        </w:rPr>
        <w:t xml:space="preserve"> J, Ovaska C and Mathiesen B (2021) ‘Reconciliation in Australia: The academic library empowering the Indigenous community’, </w:t>
      </w:r>
      <w:r w:rsidRPr="00CE6B92">
        <w:rPr>
          <w:rFonts w:ascii="Aptos" w:eastAsia="Aptos" w:hAnsi="Aptos" w:cs="Aptos"/>
          <w:i/>
          <w:iCs/>
          <w:szCs w:val="28"/>
          <w:lang w:val="en-GB" w:eastAsia="zh-CN" w:bidi="th-TH"/>
        </w:rPr>
        <w:t>IFLA Journal</w:t>
      </w:r>
      <w:r w:rsidRPr="00CE6B92">
        <w:rPr>
          <w:rFonts w:ascii="Aptos" w:eastAsia="Aptos" w:hAnsi="Aptos" w:cs="Aptos"/>
          <w:szCs w:val="28"/>
          <w:lang w:val="en-GB" w:eastAsia="zh-CN" w:bidi="th-TH"/>
        </w:rPr>
        <w:t>, 47(3):351–360,</w:t>
      </w:r>
      <w:r w:rsidR="008F1A91" w:rsidRPr="008F1A91">
        <w:t xml:space="preserve"> </w:t>
      </w:r>
      <w:hyperlink r:id="rId96" w:history="1">
        <w:r w:rsidR="008F1A91" w:rsidRPr="00FB763F">
          <w:rPr>
            <w:rStyle w:val="Hyperlink"/>
          </w:rPr>
          <w:t>https://doi.org/10.1177/0340035220987578</w:t>
        </w:r>
      </w:hyperlink>
      <w:r w:rsidR="008F1A91">
        <w:t xml:space="preserve">. </w:t>
      </w:r>
      <w:r w:rsidRPr="00CE6B92">
        <w:rPr>
          <w:rFonts w:ascii="Aptos" w:eastAsia="Aptos" w:hAnsi="Aptos" w:cs="Aptos"/>
          <w:szCs w:val="28"/>
          <w:lang w:val="en-GB" w:eastAsia="zh-CN" w:bidi="th-TH"/>
        </w:rPr>
        <w:t xml:space="preserve"> </w:t>
      </w:r>
    </w:p>
    <w:p w14:paraId="3998F620" w14:textId="003344E7"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Martens H and Hobbs R (2015) ‘How media literacy supports civic engagement in a digital age’, </w:t>
      </w:r>
      <w:r w:rsidRPr="00CE6B92">
        <w:rPr>
          <w:rFonts w:ascii="Aptos" w:eastAsia="Aptos" w:hAnsi="Aptos" w:cs="Aptos"/>
          <w:i/>
          <w:iCs/>
          <w:szCs w:val="28"/>
          <w:lang w:val="en-GB" w:eastAsia="zh-CN" w:bidi="th-TH"/>
        </w:rPr>
        <w:t>Atlantic Journal of Communication</w:t>
      </w:r>
      <w:r w:rsidRPr="00CE6B92">
        <w:rPr>
          <w:rFonts w:ascii="Aptos" w:eastAsia="Aptos" w:hAnsi="Aptos" w:cs="Aptos"/>
          <w:szCs w:val="28"/>
          <w:lang w:val="en-GB" w:eastAsia="zh-CN" w:bidi="th-TH"/>
        </w:rPr>
        <w:t xml:space="preserve">, 23(2):120–137, </w:t>
      </w:r>
      <w:hyperlink r:id="rId97" w:history="1">
        <w:r w:rsidR="00635244" w:rsidRPr="00FB763F">
          <w:rPr>
            <w:rStyle w:val="Hyperlink"/>
          </w:rPr>
          <w:t>https://doi.org/10.1080/15456870.2014.961636</w:t>
        </w:r>
      </w:hyperlink>
      <w:r w:rsidRPr="00CE6B92">
        <w:rPr>
          <w:rFonts w:ascii="Aptos" w:eastAsia="Aptos" w:hAnsi="Aptos" w:cs="Aptos"/>
          <w:szCs w:val="28"/>
          <w:lang w:val="en-GB" w:eastAsia="zh-CN" w:bidi="th-TH"/>
        </w:rPr>
        <w:t>.</w:t>
      </w:r>
      <w:r w:rsidR="00635244">
        <w:rPr>
          <w:rFonts w:ascii="Aptos" w:eastAsia="Aptos" w:hAnsi="Aptos" w:cs="Aptos"/>
          <w:szCs w:val="28"/>
          <w:lang w:val="en-GB" w:eastAsia="zh-CN" w:bidi="th-TH"/>
        </w:rPr>
        <w:t xml:space="preserve"> </w:t>
      </w:r>
      <w:r w:rsidRPr="00CE6B92">
        <w:rPr>
          <w:rFonts w:ascii="Aptos" w:eastAsia="Aptos" w:hAnsi="Aptos" w:cs="Aptos"/>
          <w:szCs w:val="28"/>
          <w:lang w:val="en-GB" w:eastAsia="zh-CN" w:bidi="th-TH"/>
        </w:rPr>
        <w:t xml:space="preserve"> </w:t>
      </w:r>
    </w:p>
    <w:p w14:paraId="3C26F0E2" w14:textId="79D772E3" w:rsidR="00CE6B92" w:rsidRPr="00CE6B92" w:rsidRDefault="00CE6B92" w:rsidP="005D7D39">
      <w:pPr>
        <w:shd w:val="clear" w:color="auto" w:fill="FFFFFF"/>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McAllister I and Biddle N (2024) ‘Information and campaign effects in the 2023 Australian voice referendum’, </w:t>
      </w:r>
      <w:r w:rsidRPr="00CE6B92">
        <w:rPr>
          <w:rFonts w:ascii="Aptos" w:eastAsia="Aptos" w:hAnsi="Aptos" w:cs="Aptos"/>
          <w:i/>
          <w:iCs/>
          <w:szCs w:val="28"/>
          <w:lang w:val="en-GB" w:eastAsia="zh-CN" w:bidi="th-TH"/>
        </w:rPr>
        <w:t>Australian Journal of Political Science</w:t>
      </w:r>
      <w:r w:rsidRPr="00CE6B92">
        <w:rPr>
          <w:rFonts w:ascii="Aptos" w:eastAsia="Aptos" w:hAnsi="Aptos" w:cs="Aptos"/>
          <w:szCs w:val="28"/>
          <w:lang w:val="en-GB" w:eastAsia="zh-CN" w:bidi="th-TH"/>
        </w:rPr>
        <w:t xml:space="preserve">, 59(3):331–343, </w:t>
      </w:r>
      <w:hyperlink r:id="rId98" w:history="1">
        <w:r w:rsidR="007D4DBE" w:rsidRPr="00FB763F">
          <w:rPr>
            <w:rStyle w:val="Hyperlink"/>
          </w:rPr>
          <w:t>https://doi.org/10.1080/10361146.2024.2409093</w:t>
        </w:r>
      </w:hyperlink>
      <w:r w:rsidRPr="00CE6B92">
        <w:rPr>
          <w:rFonts w:ascii="Aptos" w:eastAsia="Aptos" w:hAnsi="Aptos" w:cs="Aptos"/>
          <w:szCs w:val="28"/>
          <w:lang w:val="en-GB" w:eastAsia="zh-CN" w:bidi="th-TH"/>
        </w:rPr>
        <w:t>.</w:t>
      </w:r>
      <w:r w:rsidR="007D4DBE">
        <w:rPr>
          <w:rFonts w:ascii="Aptos" w:eastAsia="Aptos" w:hAnsi="Aptos" w:cs="Aptos"/>
          <w:szCs w:val="28"/>
          <w:lang w:val="en-GB" w:eastAsia="zh-CN" w:bidi="th-TH"/>
        </w:rPr>
        <w:t xml:space="preserve"> </w:t>
      </w:r>
      <w:r w:rsidRPr="00CE6B92">
        <w:rPr>
          <w:rFonts w:ascii="Aptos" w:eastAsia="Aptos" w:hAnsi="Aptos" w:cs="Aptos"/>
          <w:szCs w:val="28"/>
          <w:lang w:val="en-GB" w:eastAsia="zh-CN" w:bidi="th-TH"/>
        </w:rPr>
        <w:t xml:space="preserve"> </w:t>
      </w:r>
    </w:p>
    <w:p w14:paraId="3CF3DDFA" w14:textId="77777777"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McBrien T (2020) </w:t>
      </w:r>
      <w:hyperlink r:id="rId99">
        <w:r w:rsidRPr="00CC0215">
          <w:rPr>
            <w:rStyle w:val="Hyperlink"/>
            <w:i/>
            <w:iCs/>
          </w:rPr>
          <w:t>Defending the vote: Estonia creates a network to combat disinformation, 2016–2020</w:t>
        </w:r>
      </w:hyperlink>
      <w:r w:rsidRPr="00CE6B92">
        <w:rPr>
          <w:rFonts w:ascii="Aptos" w:eastAsia="Aptos" w:hAnsi="Aptos" w:cs="Aptos"/>
          <w:szCs w:val="28"/>
          <w:lang w:val="en-GB" w:eastAsia="zh-CN" w:bidi="th-TH"/>
        </w:rPr>
        <w:t xml:space="preserve">, Innovation for Successful Societies, Princeton University, Princeton. </w:t>
      </w:r>
    </w:p>
    <w:p w14:paraId="72978B6C" w14:textId="304985DB"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McDougall J (2019) ‘Media literacy versus fake news: Critical thinking, resilience and civic engagement’ </w:t>
      </w:r>
      <w:r w:rsidRPr="00CE6B92">
        <w:rPr>
          <w:rFonts w:ascii="Aptos" w:eastAsia="Aptos" w:hAnsi="Aptos" w:cs="Aptos"/>
          <w:i/>
          <w:iCs/>
          <w:szCs w:val="28"/>
          <w:lang w:val="en-GB" w:eastAsia="zh-CN" w:bidi="th-TH"/>
        </w:rPr>
        <w:t>Media Studies,</w:t>
      </w:r>
      <w:r w:rsidRPr="00CE6B92">
        <w:rPr>
          <w:rFonts w:ascii="Aptos" w:eastAsia="Aptos" w:hAnsi="Aptos" w:cs="Aptos"/>
          <w:szCs w:val="28"/>
          <w:lang w:val="en-GB" w:eastAsia="zh-CN" w:bidi="th-TH"/>
        </w:rPr>
        <w:t xml:space="preserve"> 10(19):29–45, </w:t>
      </w:r>
      <w:hyperlink r:id="rId100" w:history="1">
        <w:r w:rsidR="00DA0F56" w:rsidRPr="00FB763F">
          <w:rPr>
            <w:rStyle w:val="Hyperlink"/>
          </w:rPr>
          <w:t>https://doi.org/10.20901/ms.10.19.2</w:t>
        </w:r>
      </w:hyperlink>
      <w:r w:rsidRPr="00CE6B92">
        <w:rPr>
          <w:rFonts w:ascii="Aptos" w:eastAsia="Aptos" w:hAnsi="Aptos" w:cs="Aptos"/>
          <w:szCs w:val="28"/>
          <w:lang w:val="en-GB" w:eastAsia="zh-CN" w:bidi="th-TH"/>
        </w:rPr>
        <w:t>.</w:t>
      </w:r>
      <w:r w:rsidR="00DA0F56">
        <w:rPr>
          <w:rFonts w:ascii="Aptos" w:eastAsia="Aptos" w:hAnsi="Aptos" w:cs="Aptos"/>
          <w:szCs w:val="28"/>
          <w:lang w:val="en-GB" w:eastAsia="zh-CN" w:bidi="th-TH"/>
        </w:rPr>
        <w:t xml:space="preserve"> </w:t>
      </w:r>
      <w:r w:rsidRPr="00CE6B92">
        <w:rPr>
          <w:rFonts w:ascii="Aptos" w:eastAsia="Aptos" w:hAnsi="Aptos" w:cs="Aptos"/>
          <w:szCs w:val="28"/>
          <w:lang w:val="en-GB" w:eastAsia="zh-CN" w:bidi="th-TH"/>
        </w:rPr>
        <w:t xml:space="preserve"> </w:t>
      </w:r>
    </w:p>
    <w:p w14:paraId="3ACC92A4" w14:textId="78096B8D" w:rsidR="00CE6B92" w:rsidRPr="00CE6B92" w:rsidRDefault="00CE6B92" w:rsidP="005D7D39">
      <w:pPr>
        <w:rPr>
          <w:rFonts w:ascii="Aptos" w:eastAsia="Aptos" w:hAnsi="Aptos" w:cs="Aptos"/>
          <w:lang w:eastAsia="zh-CN" w:bidi="th-TH"/>
        </w:rPr>
      </w:pPr>
      <w:r w:rsidRPr="51CF4B46">
        <w:rPr>
          <w:rFonts w:ascii="Aptos" w:eastAsia="Aptos" w:hAnsi="Aptos" w:cs="Aptos"/>
          <w:lang w:eastAsia="zh-CN" w:bidi="th-TH"/>
        </w:rPr>
        <w:t xml:space="preserve">McGrath A, Rademaker L and Silverstein B (2021) ‘Deep history and deep listening: Indigenous knowledges and the narration of deep pasts’, </w:t>
      </w:r>
      <w:r w:rsidRPr="51CF4B46">
        <w:rPr>
          <w:rFonts w:ascii="Aptos" w:eastAsia="Aptos" w:hAnsi="Aptos" w:cs="Aptos"/>
          <w:i/>
          <w:iCs/>
          <w:lang w:eastAsia="zh-CN" w:bidi="th-TH"/>
        </w:rPr>
        <w:t>Rethinking History,</w:t>
      </w:r>
      <w:r w:rsidRPr="51CF4B46">
        <w:rPr>
          <w:rFonts w:ascii="Aptos" w:eastAsia="Aptos" w:hAnsi="Aptos" w:cs="Aptos"/>
          <w:lang w:eastAsia="zh-CN" w:bidi="th-TH"/>
        </w:rPr>
        <w:t xml:space="preserve"> 25(3):307–326, </w:t>
      </w:r>
      <w:hyperlink r:id="rId101" w:history="1">
        <w:r w:rsidR="00B949DF" w:rsidRPr="00FB763F">
          <w:rPr>
            <w:rStyle w:val="Hyperlink"/>
            <w:rFonts w:ascii="Aptos" w:eastAsia="Aptos" w:hAnsi="Aptos" w:cs="Aptos"/>
            <w:lang w:eastAsia="zh-CN" w:bidi="th-TH"/>
          </w:rPr>
          <w:t>https://doi.org/10.1080/13642529.2021.1966201</w:t>
        </w:r>
      </w:hyperlink>
      <w:r w:rsidR="00B949DF">
        <w:rPr>
          <w:rFonts w:ascii="Aptos" w:eastAsia="Aptos" w:hAnsi="Aptos" w:cs="Aptos"/>
          <w:lang w:eastAsia="zh-CN" w:bidi="th-TH"/>
        </w:rPr>
        <w:t>.</w:t>
      </w:r>
      <w:r w:rsidR="001404FB">
        <w:rPr>
          <w:rFonts w:ascii="Aptos" w:eastAsia="Aptos" w:hAnsi="Aptos" w:cs="Aptos"/>
          <w:lang w:eastAsia="zh-CN" w:bidi="th-TH"/>
        </w:rPr>
        <w:t xml:space="preserve"> </w:t>
      </w:r>
    </w:p>
    <w:p w14:paraId="55226057" w14:textId="77777777"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McIntyre S and Clark A (2013) </w:t>
      </w:r>
      <w:r w:rsidRPr="00CE6B92">
        <w:rPr>
          <w:rFonts w:ascii="Aptos" w:eastAsia="Aptos" w:hAnsi="Aptos" w:cs="Aptos"/>
          <w:i/>
          <w:iCs/>
          <w:szCs w:val="28"/>
          <w:lang w:val="en-GB" w:eastAsia="zh-CN" w:bidi="th-TH"/>
        </w:rPr>
        <w:t>The History Wars</w:t>
      </w:r>
      <w:r w:rsidRPr="00CE6B92">
        <w:rPr>
          <w:rFonts w:ascii="Aptos" w:eastAsia="Aptos" w:hAnsi="Aptos" w:cs="Aptos"/>
          <w:szCs w:val="28"/>
          <w:lang w:val="en-GB" w:eastAsia="zh-CN" w:bidi="th-TH"/>
        </w:rPr>
        <w:t xml:space="preserve">, Melbourne University Press, Melbourne. </w:t>
      </w:r>
    </w:p>
    <w:p w14:paraId="22D6BD61" w14:textId="4601FDCC"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Message, K (2013) ‘Slipping through the cracks: Museums and social inclusion in Australian cultural policy development 2007-10’, </w:t>
      </w:r>
      <w:r w:rsidRPr="00CE6B92">
        <w:rPr>
          <w:rFonts w:ascii="Aptos" w:eastAsia="Aptos" w:hAnsi="Aptos" w:cs="Aptos"/>
          <w:i/>
          <w:iCs/>
          <w:szCs w:val="28"/>
          <w:lang w:val="en-GB" w:eastAsia="zh-CN" w:bidi="th-TH"/>
        </w:rPr>
        <w:t xml:space="preserve">International Journal of Cultural Policy, </w:t>
      </w:r>
      <w:r w:rsidRPr="00CE6B92">
        <w:rPr>
          <w:rFonts w:ascii="Aptos" w:eastAsia="Aptos" w:hAnsi="Aptos" w:cs="Aptos"/>
          <w:szCs w:val="28"/>
          <w:lang w:val="en-GB" w:eastAsia="zh-CN" w:bidi="th-TH"/>
        </w:rPr>
        <w:t xml:space="preserve">19(2):201–221, </w:t>
      </w:r>
      <w:hyperlink r:id="rId102" w:history="1">
        <w:r w:rsidR="00C57472" w:rsidRPr="00FB763F">
          <w:rPr>
            <w:rStyle w:val="Hyperlink"/>
          </w:rPr>
          <w:t>https://doi.org/10.1080/10286632.2011.629045</w:t>
        </w:r>
      </w:hyperlink>
      <w:r w:rsidR="00C57472">
        <w:t xml:space="preserve">. </w:t>
      </w:r>
      <w:r w:rsidRPr="00CE6B92">
        <w:rPr>
          <w:rFonts w:ascii="Aptos" w:eastAsia="Aptos" w:hAnsi="Aptos" w:cs="Aptos"/>
          <w:szCs w:val="28"/>
          <w:lang w:val="en-GB" w:eastAsia="zh-CN" w:bidi="th-TH"/>
        </w:rPr>
        <w:t xml:space="preserve"> </w:t>
      </w:r>
    </w:p>
    <w:p w14:paraId="232BE890" w14:textId="7B634299" w:rsidR="00CE6B92" w:rsidRPr="00CE6B92" w:rsidRDefault="00CE6B92" w:rsidP="005D7D39">
      <w:pPr>
        <w:rPr>
          <w:rFonts w:ascii="Aptos" w:eastAsia="Aptos" w:hAnsi="Aptos" w:cs="Aptos"/>
          <w:szCs w:val="28"/>
          <w:lang w:val="en-GB" w:eastAsia="zh-CN" w:bidi="th-TH"/>
        </w:rPr>
      </w:pPr>
      <w:proofErr w:type="spellStart"/>
      <w:r w:rsidRPr="00CE6B92">
        <w:rPr>
          <w:rFonts w:ascii="Aptos" w:eastAsia="Aptos" w:hAnsi="Aptos" w:cs="Aptos"/>
          <w:szCs w:val="28"/>
          <w:lang w:val="en-GB" w:eastAsia="zh-CN" w:bidi="th-TH"/>
        </w:rPr>
        <w:lastRenderedPageBreak/>
        <w:t>Mihailidis</w:t>
      </w:r>
      <w:proofErr w:type="spellEnd"/>
      <w:r w:rsidRPr="00CE6B92">
        <w:rPr>
          <w:rFonts w:ascii="Aptos" w:eastAsia="Aptos" w:hAnsi="Aptos" w:cs="Aptos"/>
          <w:szCs w:val="28"/>
          <w:lang w:val="en-GB" w:eastAsia="zh-CN" w:bidi="th-TH"/>
        </w:rPr>
        <w:t xml:space="preserve"> P (2018) ‘Civic media literacies: Re-imagining engagement for civic intentionality’, </w:t>
      </w:r>
      <w:r w:rsidRPr="00CE6B92">
        <w:rPr>
          <w:rFonts w:ascii="Aptos" w:eastAsia="Aptos" w:hAnsi="Aptos" w:cs="Aptos"/>
          <w:i/>
          <w:iCs/>
          <w:szCs w:val="28"/>
          <w:lang w:val="en-GB" w:eastAsia="zh-CN" w:bidi="th-TH"/>
        </w:rPr>
        <w:t>Learning, Media and Technology</w:t>
      </w:r>
      <w:r w:rsidRPr="00CE6B92">
        <w:rPr>
          <w:rFonts w:ascii="Aptos" w:eastAsia="Aptos" w:hAnsi="Aptos" w:cs="Aptos"/>
          <w:szCs w:val="28"/>
          <w:lang w:val="en-GB" w:eastAsia="zh-CN" w:bidi="th-TH"/>
        </w:rPr>
        <w:t xml:space="preserve">, 43(2):152–64, </w:t>
      </w:r>
      <w:hyperlink r:id="rId103" w:history="1">
        <w:r w:rsidR="005807C9" w:rsidRPr="00FB763F">
          <w:rPr>
            <w:rStyle w:val="Hyperlink"/>
          </w:rPr>
          <w:t>https://doi.org/10.1080/17439884.2018.1428623</w:t>
        </w:r>
      </w:hyperlink>
      <w:r w:rsidRPr="00CE6B92">
        <w:rPr>
          <w:rFonts w:ascii="Aptos" w:eastAsia="Aptos" w:hAnsi="Aptos" w:cs="Aptos"/>
          <w:szCs w:val="28"/>
          <w:lang w:val="en-GB" w:eastAsia="zh-CN" w:bidi="th-TH"/>
        </w:rPr>
        <w:t>.</w:t>
      </w:r>
      <w:r w:rsidR="005807C9">
        <w:rPr>
          <w:rFonts w:ascii="Aptos" w:eastAsia="Aptos" w:hAnsi="Aptos" w:cs="Aptos"/>
          <w:szCs w:val="28"/>
          <w:lang w:val="en-GB" w:eastAsia="zh-CN" w:bidi="th-TH"/>
        </w:rPr>
        <w:t xml:space="preserve"> </w:t>
      </w:r>
      <w:r w:rsidRPr="00CE6B92">
        <w:rPr>
          <w:rFonts w:ascii="Aptos" w:eastAsia="Aptos" w:hAnsi="Aptos" w:cs="Aptos"/>
          <w:szCs w:val="28"/>
          <w:lang w:val="en-GB" w:eastAsia="zh-CN" w:bidi="th-TH"/>
        </w:rPr>
        <w:t xml:space="preserve"> </w:t>
      </w:r>
    </w:p>
    <w:p w14:paraId="6685AA3C" w14:textId="77777777"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Moore-Vissing Q and Mallory B (2020) </w:t>
      </w:r>
      <w:hyperlink r:id="rId104">
        <w:r w:rsidRPr="001523E5">
          <w:rPr>
            <w:rStyle w:val="Hyperlink"/>
            <w:i/>
            <w:iCs/>
          </w:rPr>
          <w:t>2020 New Hampshire Civic Health Index</w:t>
        </w:r>
      </w:hyperlink>
      <w:r w:rsidRPr="00CE6B92">
        <w:rPr>
          <w:rFonts w:ascii="Aptos" w:eastAsia="Aptos" w:hAnsi="Aptos" w:cs="Aptos"/>
          <w:szCs w:val="28"/>
          <w:lang w:val="en-GB" w:eastAsia="zh-CN" w:bidi="th-TH"/>
        </w:rPr>
        <w:t xml:space="preserve">, Carsey School of Public Policy, University of New Hampshire, Durham. </w:t>
      </w:r>
    </w:p>
    <w:p w14:paraId="30E0BC67" w14:textId="30C7DCD8"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Myers N (2021) ‘Information sharing and community resilience: Toward a whole community approach to surveillance and combatting the </w:t>
      </w:r>
      <w:r w:rsidR="00621CC4">
        <w:rPr>
          <w:rFonts w:ascii="Aptos" w:eastAsia="Aptos" w:hAnsi="Aptos" w:cs="Aptos"/>
          <w:szCs w:val="28"/>
          <w:lang w:val="en-GB" w:eastAsia="zh-CN" w:bidi="th-TH"/>
        </w:rPr>
        <w:t>“</w:t>
      </w:r>
      <w:r w:rsidRPr="00CE6B92">
        <w:rPr>
          <w:rFonts w:ascii="Aptos" w:eastAsia="Aptos" w:hAnsi="Aptos" w:cs="Aptos"/>
          <w:szCs w:val="28"/>
          <w:lang w:val="en-GB" w:eastAsia="zh-CN" w:bidi="th-TH"/>
        </w:rPr>
        <w:t>infodemic</w:t>
      </w:r>
      <w:r w:rsidR="00621CC4">
        <w:rPr>
          <w:rFonts w:ascii="Aptos" w:eastAsia="Aptos" w:hAnsi="Aptos" w:cs="Aptos"/>
          <w:szCs w:val="28"/>
          <w:lang w:val="en-GB" w:eastAsia="zh-CN" w:bidi="th-TH"/>
        </w:rPr>
        <w:t>”</w:t>
      </w:r>
      <w:r w:rsidRPr="00CE6B92">
        <w:rPr>
          <w:rFonts w:ascii="Aptos" w:eastAsia="Aptos" w:hAnsi="Aptos" w:cs="Aptos"/>
          <w:szCs w:val="28"/>
          <w:lang w:val="en-GB" w:eastAsia="zh-CN" w:bidi="th-TH"/>
        </w:rPr>
        <w:t xml:space="preserve">’, </w:t>
      </w:r>
      <w:r w:rsidRPr="00CE6B92">
        <w:rPr>
          <w:rFonts w:ascii="Aptos" w:eastAsia="Aptos" w:hAnsi="Aptos" w:cs="Aptos"/>
          <w:i/>
          <w:iCs/>
          <w:szCs w:val="28"/>
          <w:lang w:val="en-GB" w:eastAsia="zh-CN" w:bidi="th-TH"/>
        </w:rPr>
        <w:t>World Med</w:t>
      </w:r>
      <w:r w:rsidR="00621CC4">
        <w:rPr>
          <w:rFonts w:ascii="Aptos" w:eastAsia="Aptos" w:hAnsi="Aptos" w:cs="Aptos"/>
          <w:i/>
          <w:iCs/>
          <w:szCs w:val="28"/>
          <w:lang w:val="en-GB" w:eastAsia="zh-CN" w:bidi="th-TH"/>
        </w:rPr>
        <w:t>ical and</w:t>
      </w:r>
      <w:r w:rsidRPr="00CE6B92">
        <w:rPr>
          <w:rFonts w:ascii="Aptos" w:eastAsia="Aptos" w:hAnsi="Aptos" w:cs="Aptos"/>
          <w:i/>
          <w:iCs/>
          <w:szCs w:val="28"/>
          <w:lang w:val="en-GB" w:eastAsia="zh-CN" w:bidi="th-TH"/>
        </w:rPr>
        <w:t xml:space="preserve"> Health Policy, </w:t>
      </w:r>
      <w:r w:rsidRPr="00CE6B92">
        <w:rPr>
          <w:rFonts w:ascii="Aptos" w:eastAsia="Aptos" w:hAnsi="Aptos" w:cs="Aptos"/>
          <w:szCs w:val="28"/>
          <w:lang w:val="en-GB" w:eastAsia="zh-CN" w:bidi="th-TH"/>
        </w:rPr>
        <w:t xml:space="preserve">13(3):581-592, </w:t>
      </w:r>
      <w:hyperlink r:id="rId105" w:history="1">
        <w:r w:rsidR="00621CC4" w:rsidRPr="00FB763F">
          <w:rPr>
            <w:rStyle w:val="Hyperlink"/>
          </w:rPr>
          <w:t>https://doi.org/10.1002/wmh3.428</w:t>
        </w:r>
      </w:hyperlink>
      <w:r w:rsidRPr="00CE6B92">
        <w:rPr>
          <w:rFonts w:ascii="Aptos" w:eastAsia="Aptos" w:hAnsi="Aptos" w:cs="Aptos"/>
          <w:szCs w:val="28"/>
          <w:lang w:val="en-GB" w:eastAsia="zh-CN" w:bidi="th-TH"/>
        </w:rPr>
        <w:t>.</w:t>
      </w:r>
      <w:r w:rsidR="00621CC4">
        <w:rPr>
          <w:rFonts w:ascii="Aptos" w:eastAsia="Aptos" w:hAnsi="Aptos" w:cs="Aptos"/>
          <w:szCs w:val="28"/>
          <w:lang w:val="en-GB" w:eastAsia="zh-CN" w:bidi="th-TH"/>
        </w:rPr>
        <w:t xml:space="preserve"> </w:t>
      </w:r>
      <w:r w:rsidRPr="00CE6B92">
        <w:rPr>
          <w:rFonts w:ascii="Aptos" w:eastAsia="Aptos" w:hAnsi="Aptos" w:cs="Aptos"/>
          <w:szCs w:val="28"/>
          <w:lang w:val="en-GB" w:eastAsia="zh-CN" w:bidi="th-TH"/>
        </w:rPr>
        <w:t xml:space="preserve"> </w:t>
      </w:r>
    </w:p>
    <w:p w14:paraId="38A897E1" w14:textId="09744BA9"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Nera K, Jetten J, </w:t>
      </w:r>
      <w:proofErr w:type="spellStart"/>
      <w:r w:rsidRPr="00CE6B92">
        <w:rPr>
          <w:rFonts w:ascii="Aptos" w:eastAsia="Aptos" w:hAnsi="Aptos" w:cs="Aptos"/>
          <w:szCs w:val="28"/>
          <w:lang w:val="en-GB" w:eastAsia="zh-CN" w:bidi="th-TH"/>
        </w:rPr>
        <w:t>Biddlestone</w:t>
      </w:r>
      <w:proofErr w:type="spellEnd"/>
      <w:r w:rsidRPr="00CE6B92">
        <w:rPr>
          <w:rFonts w:ascii="Aptos" w:eastAsia="Aptos" w:hAnsi="Aptos" w:cs="Aptos"/>
          <w:szCs w:val="28"/>
          <w:lang w:val="en-GB" w:eastAsia="zh-CN" w:bidi="th-TH"/>
        </w:rPr>
        <w:t xml:space="preserve"> M and Klein, O (2022) </w:t>
      </w:r>
      <w:r w:rsidR="004F6B0F">
        <w:rPr>
          <w:rFonts w:ascii="Aptos" w:eastAsia="Aptos" w:hAnsi="Aptos" w:cs="Aptos"/>
          <w:szCs w:val="28"/>
          <w:lang w:val="en-GB" w:eastAsia="zh-CN" w:bidi="th-TH"/>
        </w:rPr>
        <w:t>‘</w:t>
      </w:r>
      <w:r w:rsidRPr="00CE6B92">
        <w:rPr>
          <w:rFonts w:ascii="Aptos" w:eastAsia="Aptos" w:hAnsi="Aptos" w:cs="Aptos"/>
          <w:szCs w:val="28"/>
          <w:lang w:val="en-GB" w:eastAsia="zh-CN" w:bidi="th-TH"/>
        </w:rPr>
        <w:t>‘</w:t>
      </w:r>
      <w:r w:rsidR="001404FB">
        <w:rPr>
          <w:rFonts w:ascii="Aptos" w:eastAsia="Aptos" w:hAnsi="Aptos" w:cs="Aptos"/>
          <w:szCs w:val="28"/>
          <w:lang w:val="en-GB" w:eastAsia="zh-CN" w:bidi="th-TH"/>
        </w:rPr>
        <w:t>‘</w:t>
      </w:r>
      <w:r w:rsidRPr="00CE6B92">
        <w:rPr>
          <w:rFonts w:ascii="Aptos" w:eastAsia="Aptos" w:hAnsi="Aptos" w:cs="Aptos"/>
          <w:szCs w:val="28"/>
          <w:lang w:val="en-GB" w:eastAsia="zh-CN" w:bidi="th-TH"/>
        </w:rPr>
        <w:t>Who wants to silence us?</w:t>
      </w:r>
      <w:r w:rsidR="004F6B0F">
        <w:rPr>
          <w:rFonts w:ascii="Aptos" w:eastAsia="Aptos" w:hAnsi="Aptos" w:cs="Aptos"/>
          <w:szCs w:val="28"/>
          <w:lang w:val="en-GB" w:eastAsia="zh-CN" w:bidi="th-TH"/>
        </w:rPr>
        <w:t>”</w:t>
      </w:r>
      <w:r w:rsidRPr="00CE6B92">
        <w:rPr>
          <w:rFonts w:ascii="Aptos" w:eastAsia="Aptos" w:hAnsi="Aptos" w:cs="Aptos"/>
          <w:szCs w:val="28"/>
          <w:lang w:val="en-GB" w:eastAsia="zh-CN" w:bidi="th-TH"/>
        </w:rPr>
        <w:t xml:space="preserve">: Perceived discrimination of conspiracy theory believers increases </w:t>
      </w:r>
      <w:r w:rsidR="004F6B0F">
        <w:rPr>
          <w:rFonts w:ascii="Aptos" w:eastAsia="Aptos" w:hAnsi="Aptos" w:cs="Aptos"/>
          <w:szCs w:val="28"/>
          <w:lang w:val="en-GB" w:eastAsia="zh-CN" w:bidi="th-TH"/>
        </w:rPr>
        <w:t>“</w:t>
      </w:r>
      <w:r w:rsidRPr="00CE6B92">
        <w:rPr>
          <w:rFonts w:ascii="Aptos" w:eastAsia="Aptos" w:hAnsi="Aptos" w:cs="Aptos"/>
          <w:szCs w:val="28"/>
          <w:lang w:val="en-GB" w:eastAsia="zh-CN" w:bidi="th-TH"/>
        </w:rPr>
        <w:t>conspiracy theorist</w:t>
      </w:r>
      <w:r w:rsidR="004F6B0F">
        <w:rPr>
          <w:rFonts w:ascii="Aptos" w:eastAsia="Aptos" w:hAnsi="Aptos" w:cs="Aptos"/>
          <w:szCs w:val="28"/>
          <w:lang w:val="en-GB" w:eastAsia="zh-CN" w:bidi="th-TH"/>
        </w:rPr>
        <w:t>”</w:t>
      </w:r>
      <w:r w:rsidRPr="00CE6B92">
        <w:rPr>
          <w:rFonts w:ascii="Aptos" w:eastAsia="Aptos" w:hAnsi="Aptos" w:cs="Aptos"/>
          <w:szCs w:val="28"/>
          <w:lang w:val="en-GB" w:eastAsia="zh-CN" w:bidi="th-TH"/>
        </w:rPr>
        <w:t xml:space="preserve"> identification when it comes from powerholders – but not from the general public’, </w:t>
      </w:r>
      <w:r w:rsidRPr="00CE6B92">
        <w:rPr>
          <w:rFonts w:ascii="Aptos" w:eastAsia="Aptos" w:hAnsi="Aptos" w:cs="Aptos"/>
          <w:i/>
          <w:iCs/>
          <w:szCs w:val="28"/>
          <w:lang w:val="en-GB" w:eastAsia="zh-CN" w:bidi="th-TH"/>
        </w:rPr>
        <w:t xml:space="preserve">British Journal of Social Psychology, </w:t>
      </w:r>
      <w:r w:rsidRPr="00CE6B92">
        <w:rPr>
          <w:rFonts w:ascii="Aptos" w:eastAsia="Aptos" w:hAnsi="Aptos" w:cs="Aptos"/>
          <w:szCs w:val="28"/>
          <w:lang w:val="en-GB" w:eastAsia="zh-CN" w:bidi="th-TH"/>
        </w:rPr>
        <w:t xml:space="preserve">61(4):1263–1285, </w:t>
      </w:r>
      <w:hyperlink r:id="rId106" w:history="1">
        <w:r w:rsidR="00C20244" w:rsidRPr="00FB763F">
          <w:rPr>
            <w:rStyle w:val="Hyperlink"/>
          </w:rPr>
          <w:t>https://doi.org/10.1111/bjso.12536</w:t>
        </w:r>
      </w:hyperlink>
      <w:r w:rsidRPr="00C20244">
        <w:rPr>
          <w:rFonts w:ascii="Aptos" w:eastAsia="Aptos" w:hAnsi="Aptos" w:cs="Aptos"/>
          <w:szCs w:val="28"/>
          <w:lang w:val="en-GB" w:eastAsia="zh-CN" w:bidi="th-TH"/>
        </w:rPr>
        <w:t>.</w:t>
      </w:r>
      <w:r w:rsidR="00C20244" w:rsidRPr="00C20244">
        <w:rPr>
          <w:rFonts w:ascii="Aptos" w:eastAsia="Aptos" w:hAnsi="Aptos" w:cs="Aptos"/>
          <w:szCs w:val="28"/>
          <w:lang w:val="en-GB" w:eastAsia="zh-CN" w:bidi="th-TH"/>
        </w:rPr>
        <w:t xml:space="preserve"> </w:t>
      </w:r>
      <w:r w:rsidRPr="00CE6B92">
        <w:rPr>
          <w:rFonts w:ascii="Aptos" w:eastAsia="Aptos" w:hAnsi="Aptos" w:cs="Aptos"/>
          <w:szCs w:val="28"/>
          <w:lang w:val="en-GB" w:eastAsia="zh-CN" w:bidi="th-TH"/>
        </w:rPr>
        <w:t xml:space="preserve"> </w:t>
      </w:r>
    </w:p>
    <w:p w14:paraId="36D7721F" w14:textId="303BF3BB"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Newell J (2021) ‘Museum occupations’, in Cameron M, Kirsten W and Newell J (eds)</w:t>
      </w:r>
      <w:r w:rsidRPr="00CE6B92">
        <w:rPr>
          <w:rFonts w:ascii="Aptos" w:eastAsia="Aptos" w:hAnsi="Aptos" w:cs="Aptos"/>
          <w:i/>
          <w:iCs/>
          <w:szCs w:val="28"/>
          <w:lang w:val="en-GB" w:eastAsia="zh-CN" w:bidi="th-TH"/>
        </w:rPr>
        <w:t xml:space="preserve"> Living with the </w:t>
      </w:r>
      <w:proofErr w:type="spellStart"/>
      <w:r w:rsidRPr="00CE6B92">
        <w:rPr>
          <w:rFonts w:ascii="Aptos" w:eastAsia="Aptos" w:hAnsi="Aptos" w:cs="Aptos"/>
          <w:i/>
          <w:iCs/>
          <w:szCs w:val="28"/>
          <w:lang w:val="en-GB" w:eastAsia="zh-CN" w:bidi="th-TH"/>
        </w:rPr>
        <w:t>anthropocene</w:t>
      </w:r>
      <w:proofErr w:type="spellEnd"/>
      <w:r w:rsidRPr="00CE6B92">
        <w:rPr>
          <w:rFonts w:ascii="Aptos" w:eastAsia="Aptos" w:hAnsi="Aptos" w:cs="Aptos"/>
          <w:i/>
          <w:iCs/>
          <w:szCs w:val="28"/>
          <w:lang w:val="en-GB" w:eastAsia="zh-CN" w:bidi="th-TH"/>
        </w:rPr>
        <w:t>: Love, loss and hope in the face of environmental crisis</w:t>
      </w:r>
      <w:r w:rsidRPr="00CE6B92">
        <w:rPr>
          <w:rFonts w:ascii="Aptos" w:eastAsia="Aptos" w:hAnsi="Aptos" w:cs="Aptos"/>
          <w:szCs w:val="28"/>
          <w:lang w:val="en-GB" w:eastAsia="zh-CN" w:bidi="th-TH"/>
        </w:rPr>
        <w:t xml:space="preserve">, NewSouth, Sydney. </w:t>
      </w:r>
    </w:p>
    <w:p w14:paraId="0241F1DF" w14:textId="47060FC4"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Nicholas J (</w:t>
      </w:r>
      <w:r w:rsidR="004B4737">
        <w:rPr>
          <w:rFonts w:ascii="Aptos" w:eastAsia="Aptos" w:hAnsi="Aptos" w:cs="Aptos"/>
          <w:szCs w:val="28"/>
          <w:lang w:val="en-GB" w:eastAsia="zh-CN" w:bidi="th-TH"/>
        </w:rPr>
        <w:t xml:space="preserve">12 November </w:t>
      </w:r>
      <w:r w:rsidRPr="00CE6B92">
        <w:rPr>
          <w:rFonts w:ascii="Aptos" w:eastAsia="Aptos" w:hAnsi="Aptos" w:cs="Aptos"/>
          <w:szCs w:val="28"/>
          <w:lang w:val="en-GB" w:eastAsia="zh-CN" w:bidi="th-TH"/>
        </w:rPr>
        <w:t>2023)</w:t>
      </w:r>
      <w:r w:rsidRPr="00CE6B92">
        <w:rPr>
          <w:rFonts w:ascii="Aptos" w:eastAsia="Aptos" w:hAnsi="Aptos" w:cs="Aptos"/>
          <w:b/>
          <w:bCs/>
          <w:szCs w:val="28"/>
          <w:lang w:val="en-GB" w:eastAsia="zh-CN" w:bidi="th-TH"/>
        </w:rPr>
        <w:t xml:space="preserve"> </w:t>
      </w:r>
      <w:r w:rsidRPr="00CE6B92">
        <w:rPr>
          <w:rFonts w:ascii="Aptos" w:eastAsia="Aptos" w:hAnsi="Aptos" w:cs="Aptos"/>
          <w:szCs w:val="28"/>
          <w:lang w:val="en-GB" w:eastAsia="zh-CN" w:bidi="th-TH"/>
        </w:rPr>
        <w:t>‘</w:t>
      </w:r>
      <w:hyperlink r:id="rId107">
        <w:r w:rsidRPr="004B4737">
          <w:rPr>
            <w:rStyle w:val="Hyperlink"/>
          </w:rPr>
          <w:t>Australians aren’t joining in any more – and it appears to be having big political consequences</w:t>
        </w:r>
        <w:r w:rsidRPr="00CE6B92">
          <w:rPr>
            <w:rFonts w:ascii="Aptos" w:eastAsia="Aptos" w:hAnsi="Aptos" w:cs="Aptos"/>
            <w:szCs w:val="28"/>
            <w:u w:val="single"/>
            <w:lang w:val="en-GB" w:eastAsia="zh-CN" w:bidi="th-TH"/>
          </w:rPr>
          <w:t>’</w:t>
        </w:r>
      </w:hyperlink>
      <w:r w:rsidRPr="00CE6B92">
        <w:rPr>
          <w:rFonts w:ascii="Aptos" w:eastAsia="Aptos" w:hAnsi="Aptos" w:cs="Aptos"/>
          <w:szCs w:val="28"/>
          <w:lang w:val="en-GB" w:eastAsia="zh-CN" w:bidi="th-TH"/>
        </w:rPr>
        <w:t xml:space="preserve">, </w:t>
      </w:r>
      <w:r w:rsidRPr="00CE6B92">
        <w:rPr>
          <w:rFonts w:ascii="Aptos" w:eastAsia="Aptos" w:hAnsi="Aptos" w:cs="Aptos"/>
          <w:i/>
          <w:iCs/>
          <w:szCs w:val="28"/>
          <w:lang w:val="en-GB" w:eastAsia="zh-CN" w:bidi="th-TH"/>
        </w:rPr>
        <w:t>The Guardian</w:t>
      </w:r>
      <w:r w:rsidRPr="00CE6B92">
        <w:rPr>
          <w:rFonts w:ascii="Aptos" w:eastAsia="Aptos" w:hAnsi="Aptos" w:cs="Aptos"/>
          <w:szCs w:val="28"/>
          <w:lang w:val="en-GB" w:eastAsia="zh-CN" w:bidi="th-TH"/>
        </w:rPr>
        <w:t xml:space="preserve">, accessed 19 December 2024. </w:t>
      </w:r>
    </w:p>
    <w:p w14:paraId="36E8ACFD" w14:textId="0FEE3300" w:rsidR="00CE6B92" w:rsidRPr="005C7749" w:rsidRDefault="00CE6B92" w:rsidP="005D7D39">
      <w:pPr>
        <w:rPr>
          <w:rFonts w:ascii="Aptos" w:eastAsia="Aptos" w:hAnsi="Aptos" w:cs="Aptos"/>
          <w:lang w:val="en-GB" w:eastAsia="zh-CN" w:bidi="th-TH"/>
        </w:rPr>
      </w:pPr>
      <w:r w:rsidRPr="005C7749">
        <w:rPr>
          <w:rFonts w:ascii="Aptos" w:eastAsia="Aptos" w:hAnsi="Aptos" w:cs="Aptos"/>
          <w:szCs w:val="28"/>
          <w:lang w:val="en-GB" w:eastAsia="zh-CN" w:bidi="th-TH"/>
        </w:rPr>
        <w:t>NLA (National Library of Australia) (</w:t>
      </w:r>
      <w:r w:rsidR="007D1FE4">
        <w:rPr>
          <w:rFonts w:ascii="Aptos" w:eastAsia="Aptos" w:hAnsi="Aptos" w:cs="Aptos"/>
          <w:szCs w:val="28"/>
          <w:lang w:val="en-GB" w:eastAsia="zh-CN" w:bidi="th-TH"/>
        </w:rPr>
        <w:t xml:space="preserve">3 June </w:t>
      </w:r>
      <w:r w:rsidRPr="005C7749">
        <w:rPr>
          <w:rFonts w:ascii="Aptos" w:eastAsia="Aptos" w:hAnsi="Aptos" w:cs="Aptos"/>
          <w:szCs w:val="28"/>
          <w:lang w:val="en-GB" w:eastAsia="zh-CN" w:bidi="th-TH"/>
        </w:rPr>
        <w:t xml:space="preserve">2022) </w:t>
      </w:r>
      <w:hyperlink r:id="rId108">
        <w:r w:rsidRPr="00B75685">
          <w:rPr>
            <w:rStyle w:val="Hyperlink"/>
            <w:i/>
            <w:iCs/>
          </w:rPr>
          <w:t>Trove turns a new page</w:t>
        </w:r>
      </w:hyperlink>
      <w:r w:rsidRPr="005C7749">
        <w:rPr>
          <w:rFonts w:ascii="Aptos" w:eastAsia="Aptos" w:hAnsi="Aptos" w:cs="Aptos"/>
          <w:szCs w:val="28"/>
          <w:lang w:val="en-GB" w:eastAsia="zh-CN" w:bidi="th-TH"/>
        </w:rPr>
        <w:t xml:space="preserve"> [media release], NLA, accessed 12 December 2024. </w:t>
      </w:r>
    </w:p>
    <w:p w14:paraId="17412980" w14:textId="6D7350C4" w:rsidR="00CE6B92" w:rsidRPr="005C7749" w:rsidRDefault="00CE6B92" w:rsidP="005D7D39">
      <w:pPr>
        <w:rPr>
          <w:rFonts w:ascii="Aptos" w:eastAsia="Aptos" w:hAnsi="Aptos" w:cs="Aptos"/>
          <w:szCs w:val="28"/>
          <w:lang w:val="en-GB" w:eastAsia="zh-CN" w:bidi="th-TH"/>
        </w:rPr>
      </w:pPr>
      <w:r w:rsidRPr="005C7749">
        <w:rPr>
          <w:rFonts w:ascii="Aptos" w:eastAsia="Aptos" w:hAnsi="Aptos" w:cs="Aptos"/>
          <w:szCs w:val="28"/>
          <w:lang w:val="en-GB" w:eastAsia="zh-CN" w:bidi="th-TH"/>
        </w:rPr>
        <w:t xml:space="preserve">NLA (2025) </w:t>
      </w:r>
      <w:hyperlink r:id="rId109">
        <w:r w:rsidRPr="00B32CC6">
          <w:rPr>
            <w:rStyle w:val="Hyperlink"/>
            <w:i/>
            <w:iCs/>
          </w:rPr>
          <w:t>Strategic vision</w:t>
        </w:r>
      </w:hyperlink>
      <w:r w:rsidRPr="005C7749">
        <w:rPr>
          <w:rFonts w:ascii="Aptos" w:eastAsia="Aptos" w:hAnsi="Aptos" w:cs="Aptos"/>
          <w:szCs w:val="28"/>
          <w:lang w:val="en-GB" w:eastAsia="zh-CN" w:bidi="th-TH"/>
        </w:rPr>
        <w:t xml:space="preserve">, NLA, accessed 6 February 2025. </w:t>
      </w:r>
    </w:p>
    <w:p w14:paraId="39E1D7D6" w14:textId="1E1A3E1E" w:rsidR="00CE6B92" w:rsidRPr="005C7749" w:rsidRDefault="00CE6B92" w:rsidP="005D7D39">
      <w:pPr>
        <w:rPr>
          <w:rFonts w:ascii="Aptos" w:eastAsia="Aptos" w:hAnsi="Aptos" w:cs="Aptos"/>
          <w:szCs w:val="28"/>
          <w:lang w:val="en-GB" w:eastAsia="zh-CN" w:bidi="th-TH"/>
        </w:rPr>
      </w:pPr>
      <w:r w:rsidRPr="005C7749">
        <w:rPr>
          <w:rFonts w:ascii="Aptos" w:eastAsia="Aptos" w:hAnsi="Aptos" w:cs="Aptos"/>
          <w:szCs w:val="28"/>
          <w:lang w:val="en-GB" w:eastAsia="zh-CN" w:bidi="th-TH"/>
        </w:rPr>
        <w:t xml:space="preserve">NLA (2024) </w:t>
      </w:r>
      <w:hyperlink r:id="rId110">
        <w:r w:rsidRPr="00B32CC6">
          <w:rPr>
            <w:rStyle w:val="Hyperlink"/>
            <w:i/>
            <w:iCs/>
          </w:rPr>
          <w:t>Text correction hall of fame</w:t>
        </w:r>
      </w:hyperlink>
      <w:r w:rsidRPr="005C7749">
        <w:rPr>
          <w:rFonts w:ascii="Aptos" w:eastAsia="Aptos" w:hAnsi="Aptos" w:cs="Aptos"/>
          <w:szCs w:val="28"/>
          <w:lang w:val="en-GB" w:eastAsia="zh-CN" w:bidi="th-TH"/>
        </w:rPr>
        <w:t xml:space="preserve">, NLA, accessed 12 December 2024. </w:t>
      </w:r>
    </w:p>
    <w:p w14:paraId="2821F965" w14:textId="72802476" w:rsidR="00CE6B92" w:rsidRPr="005C7749" w:rsidRDefault="00CE6B92" w:rsidP="005D7D39">
      <w:pPr>
        <w:rPr>
          <w:rFonts w:ascii="Aptos" w:eastAsia="Aptos" w:hAnsi="Aptos" w:cs="Aptos"/>
          <w:lang w:val="en-GB" w:eastAsia="zh-CN" w:bidi="th-TH"/>
        </w:rPr>
      </w:pPr>
      <w:r w:rsidRPr="005C7749">
        <w:rPr>
          <w:rFonts w:ascii="Aptos" w:eastAsia="Aptos" w:hAnsi="Aptos" w:cs="Aptos"/>
          <w:szCs w:val="28"/>
          <w:lang w:val="en-GB" w:eastAsia="zh-CN" w:bidi="th-TH"/>
        </w:rPr>
        <w:t>NLB (National Library Board Singapore) (2025</w:t>
      </w:r>
      <w:r w:rsidR="001E786E" w:rsidRPr="005C7749">
        <w:rPr>
          <w:rFonts w:ascii="Aptos" w:eastAsia="Aptos" w:hAnsi="Aptos" w:cs="Aptos"/>
          <w:szCs w:val="28"/>
          <w:lang w:val="en-GB" w:eastAsia="zh-CN" w:bidi="th-TH"/>
        </w:rPr>
        <w:t>a</w:t>
      </w:r>
      <w:r w:rsidRPr="005C7749">
        <w:rPr>
          <w:rFonts w:ascii="Aptos" w:eastAsia="Aptos" w:hAnsi="Aptos" w:cs="Aptos"/>
          <w:szCs w:val="28"/>
          <w:lang w:val="en-GB" w:eastAsia="zh-CN" w:bidi="th-TH"/>
        </w:rPr>
        <w:t>)</w:t>
      </w:r>
      <w:r w:rsidR="001404FB" w:rsidRPr="005C7749">
        <w:rPr>
          <w:rFonts w:ascii="Aptos" w:eastAsia="Aptos" w:hAnsi="Aptos" w:cs="Aptos"/>
          <w:szCs w:val="28"/>
          <w:lang w:val="en-GB" w:eastAsia="zh-CN" w:bidi="th-TH"/>
        </w:rPr>
        <w:t xml:space="preserve"> </w:t>
      </w:r>
      <w:hyperlink r:id="rId111">
        <w:r w:rsidRPr="001820CC">
          <w:rPr>
            <w:rStyle w:val="Hyperlink"/>
            <w:i/>
            <w:iCs/>
          </w:rPr>
          <w:t>SURE elevated</w:t>
        </w:r>
      </w:hyperlink>
      <w:r w:rsidRPr="005C7749">
        <w:rPr>
          <w:rFonts w:ascii="Aptos" w:eastAsia="Aptos" w:hAnsi="Aptos" w:cs="Aptos"/>
          <w:szCs w:val="28"/>
          <w:lang w:val="en-GB" w:eastAsia="zh-CN" w:bidi="th-TH"/>
        </w:rPr>
        <w:t>, NLB, accessed 5</w:t>
      </w:r>
      <w:r w:rsidR="00EA5229" w:rsidRPr="005C7749">
        <w:rPr>
          <w:rFonts w:ascii="Aptos" w:eastAsia="Aptos" w:hAnsi="Aptos" w:cs="Aptos"/>
          <w:szCs w:val="28"/>
          <w:lang w:val="en-GB" w:eastAsia="zh-CN" w:bidi="th-TH"/>
        </w:rPr>
        <w:t> </w:t>
      </w:r>
      <w:r w:rsidRPr="005C7749">
        <w:rPr>
          <w:rFonts w:ascii="Aptos" w:eastAsia="Aptos" w:hAnsi="Aptos" w:cs="Aptos"/>
          <w:szCs w:val="28"/>
          <w:lang w:val="en-GB" w:eastAsia="zh-CN" w:bidi="th-TH"/>
        </w:rPr>
        <w:t>February 2025.</w:t>
      </w:r>
    </w:p>
    <w:p w14:paraId="3A696A90" w14:textId="1BECA6C1" w:rsidR="00CE6B92" w:rsidRPr="005C7749" w:rsidRDefault="00CE6B92" w:rsidP="005D7D39">
      <w:pPr>
        <w:rPr>
          <w:rFonts w:ascii="Aptos" w:eastAsia="Aptos" w:hAnsi="Aptos" w:cs="Aptos"/>
          <w:szCs w:val="28"/>
          <w:lang w:val="en-GB" w:eastAsia="zh-CN" w:bidi="th-TH"/>
        </w:rPr>
      </w:pPr>
      <w:r w:rsidRPr="005C7749">
        <w:rPr>
          <w:rFonts w:ascii="Aptos" w:eastAsia="Aptos" w:hAnsi="Aptos" w:cs="Aptos"/>
          <w:szCs w:val="28"/>
          <w:lang w:val="en-GB" w:eastAsia="zh-CN" w:bidi="th-TH"/>
        </w:rPr>
        <w:t>NLB (2025</w:t>
      </w:r>
      <w:r w:rsidR="001E786E" w:rsidRPr="005C7749">
        <w:rPr>
          <w:rFonts w:ascii="Aptos" w:eastAsia="Aptos" w:hAnsi="Aptos" w:cs="Aptos"/>
          <w:szCs w:val="28"/>
          <w:lang w:val="en-GB" w:eastAsia="zh-CN" w:bidi="th-TH"/>
        </w:rPr>
        <w:t>b</w:t>
      </w:r>
      <w:r w:rsidRPr="005C7749">
        <w:rPr>
          <w:rFonts w:ascii="Aptos" w:eastAsia="Aptos" w:hAnsi="Aptos" w:cs="Aptos"/>
          <w:szCs w:val="28"/>
          <w:lang w:val="en-GB" w:eastAsia="zh-CN" w:bidi="th-TH"/>
        </w:rPr>
        <w:t xml:space="preserve">) </w:t>
      </w:r>
      <w:hyperlink r:id="rId112">
        <w:r w:rsidRPr="001820CC">
          <w:rPr>
            <w:rStyle w:val="Hyperlink"/>
            <w:i/>
            <w:iCs/>
          </w:rPr>
          <w:t>About us</w:t>
        </w:r>
      </w:hyperlink>
      <w:r w:rsidRPr="005C7749">
        <w:rPr>
          <w:rFonts w:ascii="Aptos" w:eastAsia="Aptos" w:hAnsi="Aptos" w:cs="Aptos"/>
          <w:szCs w:val="28"/>
          <w:lang w:val="en-GB" w:eastAsia="zh-CN" w:bidi="th-TH"/>
        </w:rPr>
        <w:t xml:space="preserve">, NLB, accessed 5 February 2025. </w:t>
      </w:r>
    </w:p>
    <w:p w14:paraId="7929EC1A" w14:textId="7236358E"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Notley T, Chambers S, Park S and </w:t>
      </w:r>
      <w:proofErr w:type="spellStart"/>
      <w:r w:rsidRPr="00CE6B92">
        <w:rPr>
          <w:rFonts w:ascii="Aptos" w:eastAsia="Aptos" w:hAnsi="Aptos" w:cs="Aptos"/>
          <w:szCs w:val="28"/>
          <w:lang w:val="en-GB" w:eastAsia="zh-CN" w:bidi="th-TH"/>
        </w:rPr>
        <w:t>Dezuanni</w:t>
      </w:r>
      <w:proofErr w:type="spellEnd"/>
      <w:r w:rsidRPr="00CE6B92">
        <w:rPr>
          <w:rFonts w:ascii="Aptos" w:eastAsia="Aptos" w:hAnsi="Aptos" w:cs="Aptos"/>
          <w:szCs w:val="28"/>
          <w:lang w:val="en-GB" w:eastAsia="zh-CN" w:bidi="th-TH"/>
        </w:rPr>
        <w:t xml:space="preserve"> M (2021) </w:t>
      </w:r>
      <w:hyperlink r:id="rId113">
        <w:r w:rsidRPr="00B304C8">
          <w:rPr>
            <w:rStyle w:val="Hyperlink"/>
            <w:i/>
            <w:iCs/>
          </w:rPr>
          <w:t>Adult media literacy in Australia: Attitudes, experiences and needs</w:t>
        </w:r>
      </w:hyperlink>
      <w:r w:rsidR="00B304C8">
        <w:rPr>
          <w:rFonts w:ascii="Aptos" w:eastAsia="Aptos" w:hAnsi="Aptos" w:cs="Aptos"/>
          <w:szCs w:val="28"/>
          <w:lang w:val="en-GB" w:eastAsia="zh-CN" w:bidi="th-TH"/>
        </w:rPr>
        <w:t xml:space="preserve"> [PDF]</w:t>
      </w:r>
      <w:r w:rsidRPr="00CE6B92">
        <w:rPr>
          <w:rFonts w:ascii="Aptos" w:eastAsia="Aptos" w:hAnsi="Aptos" w:cs="Aptos"/>
          <w:szCs w:val="28"/>
          <w:lang w:val="en-GB" w:eastAsia="zh-CN" w:bidi="th-TH"/>
        </w:rPr>
        <w:t xml:space="preserve">, Western Sydney University, Queensland University of Technology and University of Canberra. </w:t>
      </w:r>
    </w:p>
    <w:p w14:paraId="5853A0D2" w14:textId="650C1D3B"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Notley T, Chambers S, Park S and </w:t>
      </w:r>
      <w:proofErr w:type="spellStart"/>
      <w:r w:rsidRPr="00CE6B92">
        <w:rPr>
          <w:rFonts w:ascii="Aptos" w:eastAsia="Aptos" w:hAnsi="Aptos" w:cs="Aptos"/>
          <w:szCs w:val="28"/>
          <w:lang w:val="en-GB" w:eastAsia="zh-CN" w:bidi="th-TH"/>
        </w:rPr>
        <w:t>Dezuanni</w:t>
      </w:r>
      <w:proofErr w:type="spellEnd"/>
      <w:r w:rsidRPr="00CE6B92">
        <w:rPr>
          <w:rFonts w:ascii="Aptos" w:eastAsia="Aptos" w:hAnsi="Aptos" w:cs="Aptos"/>
          <w:szCs w:val="28"/>
          <w:lang w:val="en-GB" w:eastAsia="zh-CN" w:bidi="th-TH"/>
        </w:rPr>
        <w:t xml:space="preserve"> M (2024) </w:t>
      </w:r>
      <w:hyperlink r:id="rId114">
        <w:r w:rsidRPr="00DC45AC">
          <w:rPr>
            <w:rStyle w:val="Hyperlink"/>
            <w:i/>
            <w:iCs/>
          </w:rPr>
          <w:t>Adult media literacy in 2024: Australian attitudes, experiences and needs</w:t>
        </w:r>
      </w:hyperlink>
      <w:r w:rsidR="00DC45AC">
        <w:rPr>
          <w:rFonts w:ascii="Aptos" w:eastAsia="Aptos" w:hAnsi="Aptos" w:cs="Aptos"/>
          <w:szCs w:val="28"/>
          <w:lang w:val="en-GB" w:eastAsia="zh-CN" w:bidi="th-TH"/>
        </w:rPr>
        <w:t xml:space="preserve"> [PDF]</w:t>
      </w:r>
      <w:r w:rsidRPr="00CE6B92">
        <w:rPr>
          <w:rFonts w:ascii="Aptos" w:eastAsia="Aptos" w:hAnsi="Aptos" w:cs="Aptos"/>
          <w:szCs w:val="28"/>
          <w:lang w:val="en-GB" w:eastAsia="zh-CN" w:bidi="th-TH"/>
        </w:rPr>
        <w:t xml:space="preserve">, Western Sydney University, Queensland University of Technology and University of Canberra. </w:t>
      </w:r>
    </w:p>
    <w:p w14:paraId="1B4D9067" w14:textId="77777777"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O’Donnell J, Guan Q and Prentice Q (2024) </w:t>
      </w:r>
      <w:hyperlink r:id="rId115">
        <w:r w:rsidRPr="00DC45AC">
          <w:rPr>
            <w:rStyle w:val="Hyperlink"/>
            <w:i/>
            <w:iCs/>
          </w:rPr>
          <w:t>Mapping social cohesion 2024</w:t>
        </w:r>
      </w:hyperlink>
      <w:r w:rsidRPr="00CE6B92">
        <w:rPr>
          <w:rFonts w:ascii="Aptos" w:eastAsia="Aptos" w:hAnsi="Aptos" w:cs="Aptos"/>
          <w:szCs w:val="28"/>
          <w:lang w:val="en-GB" w:eastAsia="zh-CN" w:bidi="th-TH"/>
        </w:rPr>
        <w:t xml:space="preserve">, Scanlon Foundation Research Institute, accessed 2 December 2024. </w:t>
      </w:r>
    </w:p>
    <w:p w14:paraId="09A9796B" w14:textId="7EBFD315"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OECD (Organisation for Economic Co- Operation and Development) (2024)</w:t>
      </w:r>
      <w:r w:rsidR="00EA5229">
        <w:t xml:space="preserve"> </w:t>
      </w:r>
      <w:hyperlink r:id="rId116">
        <w:r w:rsidRPr="00DC45AC">
          <w:rPr>
            <w:rStyle w:val="Hyperlink"/>
            <w:i/>
            <w:iCs/>
          </w:rPr>
          <w:t>The OECD reinforcing democracy initiative: Monitoring report – Assessing progress and charting the way forward</w:t>
        </w:r>
      </w:hyperlink>
      <w:r w:rsidRPr="00CE6B92">
        <w:rPr>
          <w:rFonts w:ascii="Aptos" w:eastAsia="Aptos" w:hAnsi="Aptos" w:cs="Aptos"/>
          <w:szCs w:val="28"/>
          <w:lang w:val="en-GB" w:eastAsia="zh-CN" w:bidi="th-TH"/>
        </w:rPr>
        <w:t xml:space="preserve">, OECD Public Governance Reviews, OECD Publishing, Paris. </w:t>
      </w:r>
    </w:p>
    <w:p w14:paraId="45A3A19D" w14:textId="6910B5AE"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Park S, Lee JY, Notley T and </w:t>
      </w:r>
      <w:proofErr w:type="spellStart"/>
      <w:r w:rsidRPr="009976A0">
        <w:rPr>
          <w:rFonts w:ascii="Aptos" w:eastAsia="Aptos" w:hAnsi="Aptos" w:cs="Aptos"/>
          <w:szCs w:val="28"/>
          <w:lang w:val="en-GB" w:eastAsia="zh-CN" w:bidi="th-TH"/>
        </w:rPr>
        <w:t>Dezuanni</w:t>
      </w:r>
      <w:proofErr w:type="spellEnd"/>
      <w:r w:rsidRPr="009976A0">
        <w:rPr>
          <w:rFonts w:ascii="Aptos" w:eastAsia="Aptos" w:hAnsi="Aptos" w:cs="Aptos"/>
          <w:szCs w:val="28"/>
          <w:lang w:val="en-GB" w:eastAsia="zh-CN" w:bidi="th-TH"/>
        </w:rPr>
        <w:t xml:space="preserve"> M (2023</w:t>
      </w:r>
      <w:r w:rsidR="00AD408C" w:rsidRPr="009976A0">
        <w:rPr>
          <w:rFonts w:ascii="Aptos" w:eastAsia="Aptos" w:hAnsi="Aptos" w:cs="Aptos"/>
          <w:szCs w:val="28"/>
          <w:lang w:val="en-GB" w:eastAsia="zh-CN" w:bidi="th-TH"/>
        </w:rPr>
        <w:t>a</w:t>
      </w:r>
      <w:r w:rsidRPr="009976A0">
        <w:rPr>
          <w:rFonts w:ascii="Aptos" w:eastAsia="Aptos" w:hAnsi="Aptos" w:cs="Aptos"/>
          <w:szCs w:val="28"/>
          <w:lang w:val="en-GB" w:eastAsia="zh-CN" w:bidi="th-TH"/>
        </w:rPr>
        <w:t>) ‘Exploring</w:t>
      </w:r>
      <w:r w:rsidRPr="00CE6B92">
        <w:rPr>
          <w:rFonts w:ascii="Aptos" w:eastAsia="Aptos" w:hAnsi="Aptos" w:cs="Aptos"/>
          <w:szCs w:val="28"/>
          <w:lang w:val="en-GB" w:eastAsia="zh-CN" w:bidi="th-TH"/>
        </w:rPr>
        <w:t xml:space="preserve"> the relationship between media literacy, online interaction, and civic engagement’, </w:t>
      </w:r>
      <w:r w:rsidRPr="00CE6B92">
        <w:rPr>
          <w:rFonts w:ascii="Aptos" w:eastAsia="Aptos" w:hAnsi="Aptos" w:cs="Aptos"/>
          <w:i/>
          <w:iCs/>
          <w:szCs w:val="28"/>
          <w:lang w:val="en-GB" w:eastAsia="zh-CN" w:bidi="th-TH"/>
        </w:rPr>
        <w:t xml:space="preserve">The Information Society, </w:t>
      </w:r>
      <w:r w:rsidRPr="00CE6B92">
        <w:rPr>
          <w:rFonts w:ascii="Aptos" w:eastAsia="Aptos" w:hAnsi="Aptos" w:cs="Aptos"/>
          <w:szCs w:val="28"/>
          <w:lang w:val="en-GB" w:eastAsia="zh-CN" w:bidi="th-TH"/>
        </w:rPr>
        <w:t>39(4):250–261,</w:t>
      </w:r>
      <w:r w:rsidR="00DC45AC">
        <w:t xml:space="preserve"> </w:t>
      </w:r>
      <w:hyperlink r:id="rId117" w:history="1">
        <w:r w:rsidR="00DC45AC" w:rsidRPr="00FB763F">
          <w:rPr>
            <w:rStyle w:val="Hyperlink"/>
          </w:rPr>
          <w:t>https://doi.org/10.1080/01972243.2023.2211055</w:t>
        </w:r>
      </w:hyperlink>
      <w:r w:rsidRPr="00CE6B92">
        <w:rPr>
          <w:rFonts w:ascii="Aptos" w:eastAsia="Aptos" w:hAnsi="Aptos" w:cs="Aptos"/>
          <w:szCs w:val="28"/>
          <w:lang w:val="en-GB" w:eastAsia="zh-CN" w:bidi="th-TH"/>
        </w:rPr>
        <w:t>.</w:t>
      </w:r>
      <w:r w:rsidR="00DC45AC">
        <w:rPr>
          <w:rFonts w:ascii="Aptos" w:eastAsia="Aptos" w:hAnsi="Aptos" w:cs="Aptos"/>
          <w:szCs w:val="28"/>
          <w:lang w:val="en-GB" w:eastAsia="zh-CN" w:bidi="th-TH"/>
        </w:rPr>
        <w:t xml:space="preserve"> </w:t>
      </w:r>
      <w:r w:rsidRPr="00CE6B92">
        <w:rPr>
          <w:rFonts w:ascii="Aptos" w:eastAsia="Aptos" w:hAnsi="Aptos" w:cs="Aptos"/>
          <w:szCs w:val="28"/>
          <w:lang w:val="en-GB" w:eastAsia="zh-CN" w:bidi="th-TH"/>
        </w:rPr>
        <w:t xml:space="preserve"> </w:t>
      </w:r>
    </w:p>
    <w:p w14:paraId="317BD02A" w14:textId="58CF5B90"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lastRenderedPageBreak/>
        <w:t xml:space="preserve">Park S, Notley T, Thomson TJ, Hourigan A and </w:t>
      </w:r>
      <w:proofErr w:type="spellStart"/>
      <w:r w:rsidRPr="00CE6B92">
        <w:rPr>
          <w:rFonts w:ascii="Aptos" w:eastAsia="Aptos" w:hAnsi="Aptos" w:cs="Aptos"/>
          <w:szCs w:val="28"/>
          <w:lang w:val="en-GB" w:eastAsia="zh-CN" w:bidi="th-TH"/>
        </w:rPr>
        <w:t>Dezuanni</w:t>
      </w:r>
      <w:proofErr w:type="spellEnd"/>
      <w:r w:rsidRPr="00CE6B92">
        <w:rPr>
          <w:rFonts w:ascii="Aptos" w:eastAsia="Aptos" w:hAnsi="Aptos" w:cs="Aptos"/>
          <w:szCs w:val="28"/>
          <w:lang w:val="en-GB" w:eastAsia="zh-CN" w:bidi="th-TH"/>
        </w:rPr>
        <w:t xml:space="preserve"> M (2024) </w:t>
      </w:r>
      <w:r w:rsidRPr="00CE6B92">
        <w:rPr>
          <w:rFonts w:ascii="Aptos" w:eastAsia="Aptos" w:hAnsi="Aptos" w:cs="Aptos"/>
          <w:i/>
          <w:iCs/>
          <w:szCs w:val="28"/>
          <w:lang w:val="en-GB" w:eastAsia="zh-CN" w:bidi="th-TH"/>
        </w:rPr>
        <w:t>Online misinformation in Australia: Adults’ experiences, abilities, and responses</w:t>
      </w:r>
      <w:r w:rsidRPr="00CE6B92">
        <w:rPr>
          <w:rFonts w:ascii="Aptos" w:eastAsia="Aptos" w:hAnsi="Aptos" w:cs="Aptos"/>
          <w:szCs w:val="28"/>
          <w:lang w:val="en-GB" w:eastAsia="zh-CN" w:bidi="th-TH"/>
        </w:rPr>
        <w:t xml:space="preserve">, University of Canberra and Western Sydney University, </w:t>
      </w:r>
      <w:hyperlink r:id="rId118" w:history="1">
        <w:r w:rsidR="00A1450D" w:rsidRPr="00FB763F">
          <w:rPr>
            <w:rStyle w:val="Hyperlink"/>
          </w:rPr>
          <w:t>https://doi.org/10.60836/jpmm-dw04</w:t>
        </w:r>
      </w:hyperlink>
      <w:r w:rsidR="00A1450D">
        <w:t>.</w:t>
      </w:r>
      <w:r w:rsidRPr="00CE6B92">
        <w:rPr>
          <w:rFonts w:ascii="Aptos" w:eastAsia="Aptos" w:hAnsi="Aptos" w:cs="Aptos"/>
          <w:szCs w:val="28"/>
          <w:lang w:val="en-GB" w:eastAsia="zh-CN" w:bidi="th-TH"/>
        </w:rPr>
        <w:t xml:space="preserve"> </w:t>
      </w:r>
    </w:p>
    <w:p w14:paraId="75EDA3B6" w14:textId="1441BAFE"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Park S, Walsh B, and S</w:t>
      </w:r>
      <w:r w:rsidRPr="009976A0">
        <w:rPr>
          <w:rFonts w:ascii="Aptos" w:eastAsia="Aptos" w:hAnsi="Aptos" w:cs="Aptos"/>
          <w:szCs w:val="28"/>
          <w:lang w:val="en-GB" w:eastAsia="zh-CN" w:bidi="th-TH"/>
        </w:rPr>
        <w:t>u J (2023</w:t>
      </w:r>
      <w:r w:rsidR="00AD408C" w:rsidRPr="009976A0">
        <w:rPr>
          <w:rFonts w:ascii="Aptos" w:eastAsia="Aptos" w:hAnsi="Aptos" w:cs="Aptos"/>
          <w:szCs w:val="28"/>
          <w:lang w:val="en-GB" w:eastAsia="zh-CN" w:bidi="th-TH"/>
        </w:rPr>
        <w:t>b</w:t>
      </w:r>
      <w:r w:rsidRPr="009976A0">
        <w:rPr>
          <w:rFonts w:ascii="Aptos" w:eastAsia="Aptos" w:hAnsi="Aptos" w:cs="Aptos"/>
          <w:szCs w:val="28"/>
          <w:lang w:val="en-GB" w:eastAsia="zh-CN" w:bidi="th-TH"/>
        </w:rPr>
        <w:t>)</w:t>
      </w:r>
      <w:hyperlink r:id="rId119">
        <w:r w:rsidRPr="003E4746">
          <w:rPr>
            <w:i/>
            <w:iCs/>
          </w:rPr>
          <w:t xml:space="preserve"> </w:t>
        </w:r>
      </w:hyperlink>
      <w:r w:rsidRPr="003E4746">
        <w:rPr>
          <w:i/>
          <w:iCs/>
        </w:rPr>
        <w:t>Libraries and media literacy education</w:t>
      </w:r>
      <w:r w:rsidRPr="00CE6B92">
        <w:rPr>
          <w:rFonts w:ascii="Aptos" w:eastAsia="Aptos" w:hAnsi="Aptos" w:cs="Aptos"/>
          <w:szCs w:val="28"/>
          <w:lang w:val="en-GB" w:eastAsia="zh-CN" w:bidi="th-TH"/>
        </w:rPr>
        <w:t>, University of Canberra, News and Media Research Centre, Canberra</w:t>
      </w:r>
      <w:r w:rsidR="00DD1A6C">
        <w:rPr>
          <w:rFonts w:ascii="Aptos" w:eastAsia="Aptos" w:hAnsi="Aptos" w:cs="Aptos"/>
          <w:szCs w:val="28"/>
          <w:lang w:val="en-GB" w:eastAsia="zh-CN" w:bidi="th-TH"/>
        </w:rPr>
        <w:t xml:space="preserve">, </w:t>
      </w:r>
      <w:hyperlink r:id="rId120" w:history="1">
        <w:r w:rsidR="00DD1A6C" w:rsidRPr="00FB763F">
          <w:rPr>
            <w:rStyle w:val="Hyperlink"/>
          </w:rPr>
          <w:t>https://doi.org/10.25916/KAHM-ZR94</w:t>
        </w:r>
      </w:hyperlink>
      <w:r w:rsidR="00DD1A6C">
        <w:t>.</w:t>
      </w:r>
      <w:r w:rsidRPr="00CE6B92">
        <w:rPr>
          <w:rFonts w:ascii="Aptos" w:eastAsia="Aptos" w:hAnsi="Aptos" w:cs="Aptos"/>
          <w:szCs w:val="28"/>
          <w:lang w:val="en-GB" w:eastAsia="zh-CN" w:bidi="th-TH"/>
        </w:rPr>
        <w:t xml:space="preserve"> </w:t>
      </w:r>
      <w:r w:rsidR="00DD1A6C">
        <w:rPr>
          <w:rFonts w:ascii="Aptos" w:eastAsia="Aptos" w:hAnsi="Aptos" w:cs="Aptos"/>
          <w:szCs w:val="28"/>
          <w:lang w:val="en-GB" w:eastAsia="zh-CN" w:bidi="th-TH"/>
        </w:rPr>
        <w:t xml:space="preserve"> </w:t>
      </w:r>
    </w:p>
    <w:p w14:paraId="38AE6FC2" w14:textId="3CC833B5"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Pek S and Wang D (2018) ‘</w:t>
      </w:r>
      <w:hyperlink r:id="rId121" w:history="1">
        <w:r w:rsidRPr="00912831">
          <w:rPr>
            <w:rStyle w:val="Hyperlink"/>
            <w:rFonts w:ascii="Aptos" w:eastAsia="Aptos" w:hAnsi="Aptos" w:cs="Aptos"/>
            <w:szCs w:val="28"/>
            <w:lang w:val="en-GB" w:eastAsia="zh-CN" w:bidi="th-TH"/>
          </w:rPr>
          <w:t>National library board’s public education on information literacy: Teaching citizens to fight fake news’</w:t>
        </w:r>
      </w:hyperlink>
      <w:r w:rsidRPr="00CE6B92">
        <w:rPr>
          <w:rFonts w:ascii="Aptos" w:eastAsia="Aptos" w:hAnsi="Aptos" w:cs="Aptos"/>
          <w:szCs w:val="28"/>
          <w:lang w:val="en-GB" w:eastAsia="zh-CN" w:bidi="th-TH"/>
        </w:rPr>
        <w:t xml:space="preserve">, </w:t>
      </w:r>
      <w:r w:rsidRPr="00CE6B92">
        <w:rPr>
          <w:rFonts w:ascii="Aptos" w:eastAsia="Aptos" w:hAnsi="Aptos" w:cs="Aptos"/>
          <w:i/>
          <w:iCs/>
          <w:szCs w:val="28"/>
          <w:lang w:val="en-GB" w:eastAsia="zh-CN" w:bidi="th-TH"/>
        </w:rPr>
        <w:t>Singapore Journal of Library and Information Management,</w:t>
      </w:r>
      <w:r w:rsidRPr="00CE6B92">
        <w:rPr>
          <w:rFonts w:ascii="Aptos" w:eastAsia="Aptos" w:hAnsi="Aptos" w:cs="Aptos"/>
          <w:szCs w:val="28"/>
          <w:lang w:val="en-GB" w:eastAsia="zh-CN" w:bidi="th-TH"/>
        </w:rPr>
        <w:t xml:space="preserve"> 47:2–14. </w:t>
      </w:r>
    </w:p>
    <w:p w14:paraId="17023C06" w14:textId="77777777"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Perkin C (2013) ‘Beyond the rhetoric’, in Waterton E and Watson S (eds) </w:t>
      </w:r>
      <w:r w:rsidRPr="00CE6B92">
        <w:rPr>
          <w:rFonts w:ascii="Aptos" w:eastAsia="Aptos" w:hAnsi="Aptos" w:cs="Aptos"/>
          <w:i/>
          <w:iCs/>
          <w:szCs w:val="28"/>
          <w:lang w:val="en-GB" w:eastAsia="zh-CN" w:bidi="th-TH"/>
        </w:rPr>
        <w:t>Heritage and community engagement</w:t>
      </w:r>
      <w:r w:rsidRPr="00CE6B92">
        <w:rPr>
          <w:rFonts w:ascii="Aptos" w:eastAsia="Aptos" w:hAnsi="Aptos" w:cs="Aptos"/>
          <w:szCs w:val="28"/>
          <w:lang w:val="en-GB" w:eastAsia="zh-CN" w:bidi="th-TH"/>
        </w:rPr>
        <w:t xml:space="preserve">, Routledge, London. </w:t>
      </w:r>
    </w:p>
    <w:p w14:paraId="4BC55DCA" w14:textId="7A81B992"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Perkins R, Mason-Bertrand A, </w:t>
      </w:r>
      <w:proofErr w:type="spellStart"/>
      <w:r w:rsidRPr="00CE6B92">
        <w:rPr>
          <w:rFonts w:ascii="Aptos" w:eastAsia="Aptos" w:hAnsi="Aptos" w:cs="Aptos"/>
          <w:szCs w:val="28"/>
          <w:lang w:val="en-GB" w:eastAsia="zh-CN" w:bidi="th-TH"/>
        </w:rPr>
        <w:t>Tymoszuk</w:t>
      </w:r>
      <w:proofErr w:type="spellEnd"/>
      <w:r w:rsidRPr="00CE6B92">
        <w:rPr>
          <w:rFonts w:ascii="Aptos" w:eastAsia="Aptos" w:hAnsi="Aptos" w:cs="Aptos"/>
          <w:szCs w:val="28"/>
          <w:lang w:val="en-GB" w:eastAsia="zh-CN" w:bidi="th-TH"/>
        </w:rPr>
        <w:t xml:space="preserve"> U, Spiro N, Gee K and Williamon A (2021) ‘Arts engagement supports social connectedness in adulthood: Findings from the </w:t>
      </w:r>
      <w:proofErr w:type="spellStart"/>
      <w:r w:rsidRPr="00CE6B92">
        <w:rPr>
          <w:rFonts w:ascii="Aptos" w:eastAsia="Aptos" w:hAnsi="Aptos" w:cs="Aptos"/>
          <w:szCs w:val="28"/>
          <w:lang w:val="en-GB" w:eastAsia="zh-CN" w:bidi="th-TH"/>
        </w:rPr>
        <w:t>HEartS</w:t>
      </w:r>
      <w:proofErr w:type="spellEnd"/>
      <w:r w:rsidRPr="00CE6B92">
        <w:rPr>
          <w:rFonts w:ascii="Aptos" w:eastAsia="Aptos" w:hAnsi="Aptos" w:cs="Aptos"/>
          <w:szCs w:val="28"/>
          <w:lang w:val="en-GB" w:eastAsia="zh-CN" w:bidi="th-TH"/>
        </w:rPr>
        <w:t xml:space="preserve"> Survey’, </w:t>
      </w:r>
      <w:r w:rsidRPr="00CE6B92">
        <w:rPr>
          <w:rFonts w:ascii="Aptos" w:eastAsia="Aptos" w:hAnsi="Aptos" w:cs="Aptos"/>
          <w:i/>
          <w:iCs/>
          <w:szCs w:val="28"/>
          <w:lang w:val="en-GB" w:eastAsia="zh-CN" w:bidi="th-TH"/>
        </w:rPr>
        <w:t xml:space="preserve">BMC Public Health, </w:t>
      </w:r>
      <w:r w:rsidRPr="00CE6B92">
        <w:rPr>
          <w:rFonts w:ascii="Aptos" w:eastAsia="Aptos" w:hAnsi="Aptos" w:cs="Aptos"/>
          <w:szCs w:val="28"/>
          <w:lang w:val="en-GB" w:eastAsia="zh-CN" w:bidi="th-TH"/>
        </w:rPr>
        <w:t xml:space="preserve">21(1208), </w:t>
      </w:r>
      <w:hyperlink r:id="rId122" w:history="1">
        <w:r w:rsidR="00F406D8" w:rsidRPr="00FB763F">
          <w:rPr>
            <w:rStyle w:val="Hyperlink"/>
          </w:rPr>
          <w:t>https://doi.org/10.1186/s12889-021-11233-6</w:t>
        </w:r>
      </w:hyperlink>
      <w:r w:rsidRPr="00CE6B92">
        <w:rPr>
          <w:rFonts w:ascii="Aptos" w:eastAsia="Aptos" w:hAnsi="Aptos" w:cs="Aptos"/>
          <w:szCs w:val="28"/>
          <w:lang w:val="en-GB" w:eastAsia="zh-CN" w:bidi="th-TH"/>
        </w:rPr>
        <w:t>.</w:t>
      </w:r>
      <w:r w:rsidR="00F406D8">
        <w:rPr>
          <w:rFonts w:ascii="Aptos" w:eastAsia="Aptos" w:hAnsi="Aptos" w:cs="Aptos"/>
          <w:szCs w:val="28"/>
          <w:lang w:val="en-GB" w:eastAsia="zh-CN" w:bidi="th-TH"/>
        </w:rPr>
        <w:t xml:space="preserve"> </w:t>
      </w:r>
    </w:p>
    <w:p w14:paraId="6DABDD48" w14:textId="0A302A09"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Piko L and Brett A (2021) ‘Trove, disability and researching history: Or, digital materialism for precarious times’, </w:t>
      </w:r>
      <w:r w:rsidRPr="00CE6B92">
        <w:rPr>
          <w:rFonts w:ascii="Aptos" w:eastAsia="Aptos" w:hAnsi="Aptos" w:cs="Aptos"/>
          <w:i/>
          <w:iCs/>
          <w:szCs w:val="28"/>
          <w:lang w:val="en-GB" w:eastAsia="zh-CN" w:bidi="th-TH"/>
        </w:rPr>
        <w:t xml:space="preserve">History Australia, </w:t>
      </w:r>
      <w:r w:rsidRPr="00CE6B92">
        <w:rPr>
          <w:rFonts w:ascii="Aptos" w:eastAsia="Aptos" w:hAnsi="Aptos" w:cs="Aptos"/>
          <w:szCs w:val="28"/>
          <w:lang w:val="en-GB" w:eastAsia="zh-CN" w:bidi="th-TH"/>
        </w:rPr>
        <w:t xml:space="preserve">18(4):855–857, </w:t>
      </w:r>
      <w:hyperlink r:id="rId123" w:history="1">
        <w:r w:rsidR="00F406D8" w:rsidRPr="00FB763F">
          <w:rPr>
            <w:rStyle w:val="Hyperlink"/>
          </w:rPr>
          <w:t>https://doi.org/10.1080/14490854.2021.1993748</w:t>
        </w:r>
      </w:hyperlink>
      <w:r w:rsidRPr="00CE6B92">
        <w:rPr>
          <w:rFonts w:ascii="Aptos" w:eastAsia="Aptos" w:hAnsi="Aptos" w:cs="Aptos"/>
          <w:szCs w:val="28"/>
          <w:lang w:val="en-GB" w:eastAsia="zh-CN" w:bidi="th-TH"/>
        </w:rPr>
        <w:t>.</w:t>
      </w:r>
      <w:r w:rsidR="00F406D8">
        <w:rPr>
          <w:rFonts w:ascii="Aptos" w:eastAsia="Aptos" w:hAnsi="Aptos" w:cs="Aptos"/>
          <w:szCs w:val="28"/>
          <w:lang w:val="en-GB" w:eastAsia="zh-CN" w:bidi="th-TH"/>
        </w:rPr>
        <w:t xml:space="preserve"> </w:t>
      </w:r>
      <w:r w:rsidRPr="00CE6B92">
        <w:rPr>
          <w:rFonts w:ascii="Aptos" w:eastAsia="Aptos" w:hAnsi="Aptos" w:cs="Aptos"/>
          <w:szCs w:val="28"/>
          <w:lang w:val="en-GB" w:eastAsia="zh-CN" w:bidi="th-TH"/>
        </w:rPr>
        <w:t xml:space="preserve"> </w:t>
      </w:r>
    </w:p>
    <w:p w14:paraId="7554F742" w14:textId="48044FBD"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Platow MJ, Foddy M, Yamagishi T, Lim LI and Chow A (2012) ‘Two experimental tests of trust in in</w:t>
      </w:r>
      <w:r w:rsidRPr="00CE6B92">
        <w:rPr>
          <w:rFonts w:ascii="Cambria Math" w:eastAsia="Aptos" w:hAnsi="Cambria Math" w:cs="Cambria Math"/>
          <w:szCs w:val="28"/>
          <w:lang w:val="en-GB" w:eastAsia="zh-CN" w:bidi="th-TH"/>
        </w:rPr>
        <w:t>‐</w:t>
      </w:r>
      <w:r w:rsidRPr="00CE6B92">
        <w:rPr>
          <w:rFonts w:ascii="Aptos" w:eastAsia="Aptos" w:hAnsi="Aptos" w:cs="Aptos"/>
          <w:szCs w:val="28"/>
          <w:lang w:val="en-GB" w:eastAsia="zh-CN" w:bidi="th-TH"/>
        </w:rPr>
        <w:t xml:space="preserve">group strangers: The moderating role of common knowledge of group membership’, </w:t>
      </w:r>
      <w:r w:rsidRPr="00CE6B92">
        <w:rPr>
          <w:rFonts w:ascii="Aptos" w:eastAsia="Aptos" w:hAnsi="Aptos" w:cs="Aptos"/>
          <w:i/>
          <w:iCs/>
          <w:szCs w:val="28"/>
          <w:lang w:val="en-GB" w:eastAsia="zh-CN" w:bidi="th-TH"/>
        </w:rPr>
        <w:t>European Journal of Social Psychology</w:t>
      </w:r>
      <w:r w:rsidRPr="00CE6B92">
        <w:rPr>
          <w:rFonts w:ascii="Aptos" w:eastAsia="Aptos" w:hAnsi="Aptos" w:cs="Aptos"/>
          <w:szCs w:val="28"/>
          <w:lang w:val="en-GB" w:eastAsia="zh-CN" w:bidi="th-TH"/>
        </w:rPr>
        <w:t xml:space="preserve">, 42(1):30–35, </w:t>
      </w:r>
      <w:hyperlink r:id="rId124" w:history="1">
        <w:r w:rsidR="001F08FB" w:rsidRPr="00FB763F">
          <w:rPr>
            <w:rStyle w:val="Hyperlink"/>
          </w:rPr>
          <w:t>https://doi.org/10.1002/ejsp.852</w:t>
        </w:r>
      </w:hyperlink>
      <w:r w:rsidRPr="00CE6B92">
        <w:rPr>
          <w:rFonts w:ascii="Aptos" w:eastAsia="Aptos" w:hAnsi="Aptos" w:cs="Aptos"/>
          <w:szCs w:val="28"/>
          <w:lang w:val="en-GB" w:eastAsia="zh-CN" w:bidi="th-TH"/>
        </w:rPr>
        <w:t>.</w:t>
      </w:r>
      <w:r w:rsidR="001F08FB">
        <w:rPr>
          <w:rFonts w:ascii="Aptos" w:eastAsia="Aptos" w:hAnsi="Aptos" w:cs="Aptos"/>
          <w:szCs w:val="28"/>
          <w:lang w:val="en-GB" w:eastAsia="zh-CN" w:bidi="th-TH"/>
        </w:rPr>
        <w:t xml:space="preserve"> </w:t>
      </w:r>
      <w:r w:rsidRPr="00CE6B92">
        <w:rPr>
          <w:rFonts w:ascii="Aptos" w:eastAsia="Aptos" w:hAnsi="Aptos" w:cs="Aptos"/>
          <w:szCs w:val="28"/>
          <w:lang w:val="en-GB" w:eastAsia="zh-CN" w:bidi="th-TH"/>
        </w:rPr>
        <w:t xml:space="preserve"> </w:t>
      </w:r>
    </w:p>
    <w:p w14:paraId="579E9297" w14:textId="77777777"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Pope J (2009) </w:t>
      </w:r>
      <w:hyperlink r:id="rId125">
        <w:r w:rsidRPr="00E00793">
          <w:rPr>
            <w:rStyle w:val="Hyperlink"/>
            <w:i/>
            <w:iCs/>
          </w:rPr>
          <w:t>Strengthening local communities: The community museums pilot project report</w:t>
        </w:r>
      </w:hyperlink>
      <w:r w:rsidRPr="00CE6B92">
        <w:rPr>
          <w:rFonts w:ascii="Aptos" w:eastAsia="Aptos" w:hAnsi="Aptos" w:cs="Aptos"/>
          <w:szCs w:val="28"/>
          <w:lang w:val="en-GB" w:eastAsia="zh-CN" w:bidi="th-TH"/>
        </w:rPr>
        <w:t xml:space="preserve">, Department for Planning and Community Development, Victorian Government, Melbourne. </w:t>
      </w:r>
    </w:p>
    <w:p w14:paraId="796A8F2E" w14:textId="003927FF" w:rsidR="00CE6B92" w:rsidRPr="00CE6B92" w:rsidRDefault="00CE6B92" w:rsidP="005D7D39">
      <w:pPr>
        <w:rPr>
          <w:rFonts w:ascii="Aptos" w:eastAsia="Aptos" w:hAnsi="Aptos" w:cs="Aptos"/>
          <w:szCs w:val="28"/>
          <w:lang w:val="en-GB" w:eastAsia="zh-CN" w:bidi="th-TH"/>
        </w:rPr>
      </w:pPr>
      <w:proofErr w:type="spellStart"/>
      <w:r w:rsidRPr="00CE6B92">
        <w:rPr>
          <w:rFonts w:ascii="Aptos" w:eastAsia="Aptos" w:hAnsi="Aptos" w:cs="Aptos"/>
          <w:szCs w:val="28"/>
          <w:lang w:val="en-GB" w:eastAsia="zh-CN" w:bidi="th-TH"/>
        </w:rPr>
        <w:t>Posetti</w:t>
      </w:r>
      <w:proofErr w:type="spellEnd"/>
      <w:r w:rsidRPr="00CE6B92">
        <w:rPr>
          <w:rFonts w:ascii="Aptos" w:eastAsia="Aptos" w:hAnsi="Aptos" w:cs="Aptos"/>
          <w:szCs w:val="28"/>
          <w:lang w:val="en-GB" w:eastAsia="zh-CN" w:bidi="th-TH"/>
        </w:rPr>
        <w:t xml:space="preserve"> J and Matthews A (2018) </w:t>
      </w:r>
      <w:hyperlink r:id="rId126">
        <w:r w:rsidRPr="0051515E">
          <w:rPr>
            <w:rStyle w:val="Hyperlink"/>
            <w:i/>
            <w:iCs/>
          </w:rPr>
          <w:t>A short guide to the history of ‘fake news’ and disinformation</w:t>
        </w:r>
      </w:hyperlink>
      <w:r w:rsidR="0051515E">
        <w:rPr>
          <w:rFonts w:ascii="Aptos" w:eastAsia="Aptos" w:hAnsi="Aptos" w:cs="Aptos"/>
          <w:szCs w:val="28"/>
          <w:lang w:val="en-GB" w:eastAsia="zh-CN" w:bidi="th-TH"/>
        </w:rPr>
        <w:t xml:space="preserve"> [PDF]</w:t>
      </w:r>
      <w:r w:rsidRPr="00CE6B92">
        <w:rPr>
          <w:rFonts w:ascii="Aptos" w:eastAsia="Aptos" w:hAnsi="Aptos" w:cs="Aptos"/>
          <w:szCs w:val="28"/>
          <w:lang w:val="en-GB" w:eastAsia="zh-CN" w:bidi="th-TH"/>
        </w:rPr>
        <w:t xml:space="preserve">, International </w:t>
      </w:r>
      <w:proofErr w:type="spellStart"/>
      <w:r w:rsidRPr="00CE6B92">
        <w:rPr>
          <w:rFonts w:ascii="Aptos" w:eastAsia="Aptos" w:hAnsi="Aptos" w:cs="Aptos"/>
          <w:szCs w:val="28"/>
          <w:lang w:val="en-GB" w:eastAsia="zh-CN" w:bidi="th-TH"/>
        </w:rPr>
        <w:t>Center</w:t>
      </w:r>
      <w:proofErr w:type="spellEnd"/>
      <w:r w:rsidRPr="00CE6B92">
        <w:rPr>
          <w:rFonts w:ascii="Aptos" w:eastAsia="Aptos" w:hAnsi="Aptos" w:cs="Aptos"/>
          <w:szCs w:val="28"/>
          <w:lang w:val="en-GB" w:eastAsia="zh-CN" w:bidi="th-TH"/>
        </w:rPr>
        <w:t xml:space="preserve"> for Journalists, Washington. </w:t>
      </w:r>
    </w:p>
    <w:p w14:paraId="0803E03C" w14:textId="3B6B7D44" w:rsidR="00CE6B92" w:rsidRPr="00CE6B92" w:rsidRDefault="00CE6B92" w:rsidP="005D7D39">
      <w:pPr>
        <w:rPr>
          <w:rFonts w:ascii="Aptos" w:eastAsia="Aptos" w:hAnsi="Aptos" w:cs="Aptos"/>
          <w:szCs w:val="28"/>
          <w:lang w:val="en-GB" w:eastAsia="zh-CN" w:bidi="th-TH"/>
        </w:rPr>
      </w:pPr>
      <w:proofErr w:type="spellStart"/>
      <w:r w:rsidRPr="00CE6B92">
        <w:rPr>
          <w:rFonts w:ascii="Aptos" w:eastAsia="Aptos" w:hAnsi="Aptos" w:cs="Aptos"/>
          <w:szCs w:val="28"/>
          <w:lang w:val="en-GB" w:eastAsia="zh-CN" w:bidi="th-TH"/>
        </w:rPr>
        <w:t>Pronyk</w:t>
      </w:r>
      <w:proofErr w:type="spellEnd"/>
      <w:r w:rsidRPr="00CE6B92">
        <w:rPr>
          <w:rFonts w:ascii="Aptos" w:eastAsia="Aptos" w:hAnsi="Aptos" w:cs="Aptos"/>
          <w:szCs w:val="28"/>
          <w:lang w:val="en-GB" w:eastAsia="zh-CN" w:bidi="th-TH"/>
        </w:rPr>
        <w:t xml:space="preserve"> PM, Harpham T, </w:t>
      </w:r>
      <w:proofErr w:type="spellStart"/>
      <w:r w:rsidRPr="00CE6B92">
        <w:rPr>
          <w:rFonts w:ascii="Aptos" w:eastAsia="Aptos" w:hAnsi="Aptos" w:cs="Aptos"/>
          <w:szCs w:val="28"/>
          <w:lang w:val="en-GB" w:eastAsia="zh-CN" w:bidi="th-TH"/>
        </w:rPr>
        <w:t>Busza</w:t>
      </w:r>
      <w:proofErr w:type="spellEnd"/>
      <w:r w:rsidRPr="00CE6B92">
        <w:rPr>
          <w:rFonts w:ascii="Aptos" w:eastAsia="Aptos" w:hAnsi="Aptos" w:cs="Aptos"/>
          <w:szCs w:val="28"/>
          <w:lang w:val="en-GB" w:eastAsia="zh-CN" w:bidi="th-TH"/>
        </w:rPr>
        <w:t xml:space="preserve"> J, Phetla G, Morison LA, Hargreaves JR, Kim JC, Watts CH and Porter JD (2008) ‘Can social capital be intentionally generated? A randomized trial from rural South Africa,’ </w:t>
      </w:r>
      <w:r w:rsidRPr="00CE6B92">
        <w:rPr>
          <w:rFonts w:ascii="Aptos" w:eastAsia="Aptos" w:hAnsi="Aptos" w:cs="Aptos"/>
          <w:i/>
          <w:iCs/>
          <w:szCs w:val="28"/>
          <w:lang w:val="en-GB" w:eastAsia="zh-CN" w:bidi="th-TH"/>
        </w:rPr>
        <w:t>Social Science and Medicine</w:t>
      </w:r>
      <w:r w:rsidRPr="00CE6B92">
        <w:rPr>
          <w:rFonts w:ascii="Aptos" w:eastAsia="Aptos" w:hAnsi="Aptos" w:cs="Aptos"/>
          <w:szCs w:val="28"/>
          <w:lang w:val="en-GB" w:eastAsia="zh-CN" w:bidi="th-TH"/>
        </w:rPr>
        <w:t xml:space="preserve">, 67(10):1559–1570, </w:t>
      </w:r>
      <w:hyperlink r:id="rId127" w:history="1">
        <w:r w:rsidR="006B2516" w:rsidRPr="00FB763F">
          <w:rPr>
            <w:rStyle w:val="Hyperlink"/>
          </w:rPr>
          <w:t>https://doi.org/10.1016/j.socscimed.2008.07.022</w:t>
        </w:r>
      </w:hyperlink>
      <w:r w:rsidRPr="00CE6B92">
        <w:rPr>
          <w:rFonts w:ascii="Aptos" w:eastAsia="Aptos" w:hAnsi="Aptos" w:cs="Aptos"/>
          <w:szCs w:val="28"/>
          <w:lang w:val="en-GB" w:eastAsia="zh-CN" w:bidi="th-TH"/>
        </w:rPr>
        <w:t>.</w:t>
      </w:r>
      <w:r w:rsidR="006B2516">
        <w:rPr>
          <w:rFonts w:ascii="Aptos" w:eastAsia="Aptos" w:hAnsi="Aptos" w:cs="Aptos"/>
          <w:szCs w:val="28"/>
          <w:lang w:val="en-GB" w:eastAsia="zh-CN" w:bidi="th-TH"/>
        </w:rPr>
        <w:t xml:space="preserve"> </w:t>
      </w:r>
      <w:r w:rsidRPr="00CE6B92">
        <w:rPr>
          <w:rFonts w:ascii="Aptos" w:eastAsia="Aptos" w:hAnsi="Aptos" w:cs="Aptos"/>
          <w:szCs w:val="28"/>
          <w:lang w:val="en-GB" w:eastAsia="zh-CN" w:bidi="th-TH"/>
        </w:rPr>
        <w:t xml:space="preserve"> </w:t>
      </w:r>
    </w:p>
    <w:p w14:paraId="17BE0F7A" w14:textId="7501852F" w:rsidR="00CE6B92" w:rsidRPr="00CE6B92" w:rsidRDefault="00CE6B92" w:rsidP="005D7D39">
      <w:pPr>
        <w:rPr>
          <w:rFonts w:ascii="Aptos" w:eastAsia="Aptos" w:hAnsi="Aptos" w:cs="Aptos"/>
          <w:szCs w:val="28"/>
          <w:lang w:val="en-GB" w:eastAsia="zh-CN" w:bidi="th-TH"/>
        </w:rPr>
      </w:pPr>
      <w:proofErr w:type="spellStart"/>
      <w:r w:rsidRPr="00CE6B92">
        <w:rPr>
          <w:rFonts w:ascii="Aptos" w:eastAsia="Aptos" w:hAnsi="Aptos" w:cs="Aptos"/>
          <w:szCs w:val="28"/>
          <w:lang w:val="en-GB" w:eastAsia="zh-CN" w:bidi="th-TH"/>
        </w:rPr>
        <w:t>Pronyk</w:t>
      </w:r>
      <w:proofErr w:type="spellEnd"/>
      <w:r w:rsidRPr="00CE6B92">
        <w:rPr>
          <w:rFonts w:ascii="Aptos" w:eastAsia="Aptos" w:hAnsi="Aptos" w:cs="Aptos"/>
          <w:szCs w:val="28"/>
          <w:lang w:val="en-GB" w:eastAsia="zh-CN" w:bidi="th-TH"/>
        </w:rPr>
        <w:t xml:space="preserve"> PM, Hargreaves JR, Kim JC, Morison LA, Phetla G, Watts C, </w:t>
      </w:r>
      <w:proofErr w:type="spellStart"/>
      <w:r w:rsidRPr="00CE6B92">
        <w:rPr>
          <w:rFonts w:ascii="Aptos" w:eastAsia="Aptos" w:hAnsi="Aptos" w:cs="Aptos"/>
          <w:szCs w:val="28"/>
          <w:lang w:val="en-GB" w:eastAsia="zh-CN" w:bidi="th-TH"/>
        </w:rPr>
        <w:t>Busza</w:t>
      </w:r>
      <w:proofErr w:type="spellEnd"/>
      <w:r w:rsidRPr="00CE6B92">
        <w:rPr>
          <w:rFonts w:ascii="Aptos" w:eastAsia="Aptos" w:hAnsi="Aptos" w:cs="Aptos"/>
          <w:szCs w:val="28"/>
          <w:lang w:val="en-GB" w:eastAsia="zh-CN" w:bidi="th-TH"/>
        </w:rPr>
        <w:t xml:space="preserve"> J </w:t>
      </w:r>
      <w:r w:rsidR="00246AEF">
        <w:rPr>
          <w:rFonts w:ascii="Aptos" w:eastAsia="Aptos" w:hAnsi="Aptos" w:cs="Aptos"/>
          <w:szCs w:val="28"/>
          <w:lang w:val="en-GB" w:eastAsia="zh-CN" w:bidi="th-TH"/>
        </w:rPr>
        <w:t xml:space="preserve">and </w:t>
      </w:r>
      <w:r w:rsidRPr="00CE6B92">
        <w:rPr>
          <w:rFonts w:ascii="Aptos" w:eastAsia="Aptos" w:hAnsi="Aptos" w:cs="Aptos"/>
          <w:szCs w:val="28"/>
          <w:lang w:val="en-GB" w:eastAsia="zh-CN" w:bidi="th-TH"/>
        </w:rPr>
        <w:t xml:space="preserve">Porter JDH (2006) ‘Effect of a structural intervention for the prevention of intimate-partner violence and HIV in rural South Africa: a cluster randomised trial’, </w:t>
      </w:r>
      <w:r w:rsidRPr="00CE6B92">
        <w:rPr>
          <w:rFonts w:ascii="Aptos" w:eastAsia="Aptos" w:hAnsi="Aptos" w:cs="Aptos"/>
          <w:i/>
          <w:iCs/>
          <w:szCs w:val="28"/>
          <w:lang w:val="en-GB" w:eastAsia="zh-CN" w:bidi="th-TH"/>
        </w:rPr>
        <w:t xml:space="preserve">The Lancet, </w:t>
      </w:r>
      <w:r w:rsidRPr="00CE6B92">
        <w:rPr>
          <w:rFonts w:ascii="Aptos" w:eastAsia="Aptos" w:hAnsi="Aptos" w:cs="Aptos"/>
          <w:szCs w:val="28"/>
          <w:lang w:val="en-GB" w:eastAsia="zh-CN" w:bidi="th-TH"/>
        </w:rPr>
        <w:t xml:space="preserve">368(9551):1973–1983, </w:t>
      </w:r>
      <w:hyperlink r:id="rId128" w:history="1">
        <w:r w:rsidR="00B929B2" w:rsidRPr="00FB763F">
          <w:rPr>
            <w:rStyle w:val="Hyperlink"/>
          </w:rPr>
          <w:t>https://doi.org/10.1016/S0140-6736(06)69744-4</w:t>
        </w:r>
      </w:hyperlink>
      <w:r w:rsidRPr="00CE6B92">
        <w:rPr>
          <w:rFonts w:ascii="Aptos" w:eastAsia="Aptos" w:hAnsi="Aptos" w:cs="Aptos"/>
          <w:szCs w:val="28"/>
          <w:lang w:val="en-GB" w:eastAsia="zh-CN" w:bidi="th-TH"/>
        </w:rPr>
        <w:t>.</w:t>
      </w:r>
      <w:r w:rsidR="00B929B2">
        <w:rPr>
          <w:rFonts w:ascii="Aptos" w:eastAsia="Aptos" w:hAnsi="Aptos" w:cs="Aptos"/>
          <w:szCs w:val="28"/>
          <w:lang w:val="en-GB" w:eastAsia="zh-CN" w:bidi="th-TH"/>
        </w:rPr>
        <w:t xml:space="preserve"> </w:t>
      </w:r>
    </w:p>
    <w:p w14:paraId="71647F34" w14:textId="599C07CF"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Prowse L (2015) ‘Parallels on the periphery: The exploration of Aboriginal history by local historical societies in New South Wales, 1960s-1970s. </w:t>
      </w:r>
      <w:r w:rsidRPr="00CE6B92">
        <w:rPr>
          <w:rFonts w:ascii="Aptos" w:eastAsia="Aptos" w:hAnsi="Aptos" w:cs="Aptos"/>
          <w:i/>
          <w:iCs/>
          <w:szCs w:val="28"/>
          <w:lang w:val="en-GB" w:eastAsia="zh-CN" w:bidi="th-TH"/>
        </w:rPr>
        <w:t>History Australia</w:t>
      </w:r>
      <w:r w:rsidRPr="00CE6B92">
        <w:rPr>
          <w:rFonts w:ascii="Aptos" w:eastAsia="Aptos" w:hAnsi="Aptos" w:cs="Aptos"/>
          <w:szCs w:val="28"/>
          <w:lang w:val="en-GB" w:eastAsia="zh-CN" w:bidi="th-TH"/>
        </w:rPr>
        <w:t xml:space="preserve">, 12(3):55–75, </w:t>
      </w:r>
      <w:hyperlink r:id="rId129" w:history="1">
        <w:r w:rsidR="008B281E" w:rsidRPr="00FB763F">
          <w:rPr>
            <w:rStyle w:val="Hyperlink"/>
          </w:rPr>
          <w:t>https://doi.org/10.1080/14490854.2015.11668586</w:t>
        </w:r>
      </w:hyperlink>
      <w:r w:rsidRPr="00CE6B92">
        <w:rPr>
          <w:rFonts w:ascii="Aptos" w:eastAsia="Aptos" w:hAnsi="Aptos" w:cs="Aptos"/>
          <w:szCs w:val="28"/>
          <w:lang w:val="en-GB" w:eastAsia="zh-CN" w:bidi="th-TH"/>
        </w:rPr>
        <w:t>.</w:t>
      </w:r>
      <w:r w:rsidR="008B281E">
        <w:rPr>
          <w:rFonts w:ascii="Aptos" w:eastAsia="Aptos" w:hAnsi="Aptos" w:cs="Aptos"/>
          <w:szCs w:val="28"/>
          <w:lang w:val="en-GB" w:eastAsia="zh-CN" w:bidi="th-TH"/>
        </w:rPr>
        <w:t xml:space="preserve"> </w:t>
      </w:r>
      <w:r w:rsidRPr="00CE6B92">
        <w:rPr>
          <w:rFonts w:ascii="Aptos" w:eastAsia="Aptos" w:hAnsi="Aptos" w:cs="Aptos"/>
          <w:szCs w:val="28"/>
          <w:lang w:val="en-GB" w:eastAsia="zh-CN" w:bidi="th-TH"/>
        </w:rPr>
        <w:t xml:space="preserve"> </w:t>
      </w:r>
    </w:p>
    <w:p w14:paraId="3770DD76" w14:textId="510AD926"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Putnam L (2016) ‘The transnational and the text-searchable: Digitized sources and the shadows they cast’, </w:t>
      </w:r>
      <w:r w:rsidRPr="00CE6B92">
        <w:rPr>
          <w:rFonts w:ascii="Aptos" w:eastAsia="Aptos" w:hAnsi="Aptos" w:cs="Aptos"/>
          <w:i/>
          <w:iCs/>
          <w:szCs w:val="28"/>
          <w:lang w:val="en-GB" w:eastAsia="zh-CN" w:bidi="th-TH"/>
        </w:rPr>
        <w:t>American Historical Review</w:t>
      </w:r>
      <w:r w:rsidRPr="00CE6B92">
        <w:rPr>
          <w:rFonts w:ascii="Aptos" w:eastAsia="Aptos" w:hAnsi="Aptos" w:cs="Aptos"/>
          <w:szCs w:val="28"/>
          <w:lang w:val="en-GB" w:eastAsia="zh-CN" w:bidi="th-TH"/>
        </w:rPr>
        <w:t xml:space="preserve">, 121(2):377–402, </w:t>
      </w:r>
      <w:hyperlink r:id="rId130" w:history="1">
        <w:r w:rsidR="00203C36" w:rsidRPr="00FB763F">
          <w:rPr>
            <w:rStyle w:val="Hyperlink"/>
          </w:rPr>
          <w:t>https://doi.org/10.1093/ahr/121.2.377</w:t>
        </w:r>
      </w:hyperlink>
      <w:r w:rsidRPr="00CE6B92">
        <w:rPr>
          <w:rFonts w:ascii="Aptos" w:eastAsia="Aptos" w:hAnsi="Aptos" w:cs="Aptos"/>
          <w:szCs w:val="28"/>
          <w:lang w:val="en-GB" w:eastAsia="zh-CN" w:bidi="th-TH"/>
        </w:rPr>
        <w:t>.</w:t>
      </w:r>
      <w:r w:rsidR="00203C36">
        <w:rPr>
          <w:rFonts w:ascii="Aptos" w:eastAsia="Aptos" w:hAnsi="Aptos" w:cs="Aptos"/>
          <w:szCs w:val="28"/>
          <w:lang w:val="en-GB" w:eastAsia="zh-CN" w:bidi="th-TH"/>
        </w:rPr>
        <w:t xml:space="preserve"> </w:t>
      </w:r>
      <w:r w:rsidRPr="00CE6B92">
        <w:rPr>
          <w:rFonts w:ascii="Aptos" w:eastAsia="Aptos" w:hAnsi="Aptos" w:cs="Aptos"/>
          <w:szCs w:val="28"/>
          <w:lang w:val="en-GB" w:eastAsia="zh-CN" w:bidi="th-TH"/>
        </w:rPr>
        <w:t xml:space="preserve"> </w:t>
      </w:r>
    </w:p>
    <w:p w14:paraId="7FECBD2C" w14:textId="77777777"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Putnam R (2000) </w:t>
      </w:r>
      <w:r w:rsidRPr="00203C36">
        <w:rPr>
          <w:rFonts w:ascii="Aptos" w:eastAsia="Aptos" w:hAnsi="Aptos" w:cs="Aptos"/>
          <w:i/>
          <w:iCs/>
          <w:szCs w:val="28"/>
          <w:lang w:val="en-GB" w:eastAsia="zh-CN" w:bidi="th-TH"/>
        </w:rPr>
        <w:t>Bowling alone – The collapse and revival of American community</w:t>
      </w:r>
      <w:r w:rsidRPr="00CE6B92">
        <w:rPr>
          <w:rFonts w:ascii="Aptos" w:eastAsia="Aptos" w:hAnsi="Aptos" w:cs="Aptos"/>
          <w:szCs w:val="28"/>
          <w:lang w:val="en-GB" w:eastAsia="zh-CN" w:bidi="th-TH"/>
        </w:rPr>
        <w:t xml:space="preserve">, Simon &amp; Schuster, New York. </w:t>
      </w:r>
    </w:p>
    <w:p w14:paraId="382241DD" w14:textId="7961A858" w:rsidR="00CE6B92" w:rsidRPr="00CE6B92" w:rsidRDefault="00CE6B92" w:rsidP="005D7D39">
      <w:pPr>
        <w:rPr>
          <w:rFonts w:ascii="Aptos" w:eastAsia="Aptos" w:hAnsi="Aptos" w:cs="Aptos"/>
          <w:szCs w:val="28"/>
          <w:lang w:val="en-GB" w:eastAsia="zh-CN" w:bidi="th-TH"/>
        </w:rPr>
      </w:pPr>
      <w:proofErr w:type="spellStart"/>
      <w:r w:rsidRPr="00CE6B92">
        <w:rPr>
          <w:rFonts w:ascii="Aptos" w:eastAsia="Aptos" w:hAnsi="Aptos" w:cs="Aptos"/>
          <w:szCs w:val="28"/>
          <w:lang w:val="en-GB" w:eastAsia="zh-CN" w:bidi="th-TH"/>
        </w:rPr>
        <w:lastRenderedPageBreak/>
        <w:t>Questacon</w:t>
      </w:r>
      <w:proofErr w:type="spellEnd"/>
      <w:r w:rsidRPr="00CE6B92">
        <w:rPr>
          <w:rFonts w:ascii="Aptos" w:eastAsia="Aptos" w:hAnsi="Aptos" w:cs="Aptos"/>
          <w:szCs w:val="28"/>
          <w:lang w:val="en-GB" w:eastAsia="zh-CN" w:bidi="th-TH"/>
        </w:rPr>
        <w:t xml:space="preserve"> (2021) </w:t>
      </w:r>
      <w:hyperlink r:id="rId131">
        <w:r w:rsidRPr="00203C36">
          <w:rPr>
            <w:rStyle w:val="Hyperlink"/>
            <w:i/>
            <w:iCs/>
          </w:rPr>
          <w:t>Year in review 2021</w:t>
        </w:r>
      </w:hyperlink>
      <w:r w:rsidRPr="00CE6B92">
        <w:rPr>
          <w:rFonts w:ascii="Aptos" w:eastAsia="Aptos" w:hAnsi="Aptos" w:cs="Aptos"/>
          <w:szCs w:val="28"/>
          <w:lang w:val="en-GB" w:eastAsia="zh-CN" w:bidi="th-TH"/>
        </w:rPr>
        <w:t xml:space="preserve">, </w:t>
      </w:r>
      <w:proofErr w:type="spellStart"/>
      <w:r w:rsidR="00EC646A" w:rsidRPr="00CE6B92">
        <w:rPr>
          <w:rFonts w:ascii="Aptos" w:eastAsia="Aptos" w:hAnsi="Aptos" w:cs="Aptos"/>
          <w:szCs w:val="28"/>
          <w:lang w:val="en-GB" w:eastAsia="zh-CN" w:bidi="th-TH"/>
        </w:rPr>
        <w:t>Questacon</w:t>
      </w:r>
      <w:proofErr w:type="spellEnd"/>
      <w:r w:rsidRPr="00CE6B92">
        <w:rPr>
          <w:rFonts w:ascii="Aptos" w:eastAsia="Aptos" w:hAnsi="Aptos" w:cs="Aptos"/>
          <w:szCs w:val="28"/>
          <w:lang w:val="en-GB" w:eastAsia="zh-CN" w:bidi="th-TH"/>
        </w:rPr>
        <w:t xml:space="preserve">. </w:t>
      </w:r>
    </w:p>
    <w:p w14:paraId="15457EF3" w14:textId="47709E4F" w:rsidR="00CE6B92" w:rsidRPr="00CE6B92" w:rsidRDefault="00CE6B92" w:rsidP="005D7D39">
      <w:pPr>
        <w:rPr>
          <w:rFonts w:ascii="Aptos" w:eastAsia="Aptos" w:hAnsi="Aptos" w:cs="Aptos"/>
          <w:szCs w:val="28"/>
          <w:lang w:val="en-GB" w:eastAsia="zh-CN" w:bidi="th-TH"/>
        </w:rPr>
      </w:pPr>
      <w:proofErr w:type="spellStart"/>
      <w:r w:rsidRPr="00CE6B92">
        <w:rPr>
          <w:rFonts w:ascii="Aptos" w:eastAsia="Aptos" w:hAnsi="Aptos" w:cs="Aptos"/>
          <w:szCs w:val="28"/>
          <w:lang w:val="en-GB" w:eastAsia="zh-CN" w:bidi="th-TH"/>
        </w:rPr>
        <w:t>Questacon</w:t>
      </w:r>
      <w:proofErr w:type="spellEnd"/>
      <w:r w:rsidRPr="00CE6B92">
        <w:rPr>
          <w:rFonts w:ascii="Aptos" w:eastAsia="Aptos" w:hAnsi="Aptos" w:cs="Aptos"/>
          <w:szCs w:val="28"/>
          <w:lang w:val="en-GB" w:eastAsia="zh-CN" w:bidi="th-TH"/>
        </w:rPr>
        <w:t xml:space="preserve"> (2022) </w:t>
      </w:r>
      <w:hyperlink r:id="rId132">
        <w:r w:rsidRPr="00203C36">
          <w:rPr>
            <w:rStyle w:val="Hyperlink"/>
            <w:i/>
            <w:iCs/>
          </w:rPr>
          <w:t>2022 in review: Our achievements</w:t>
        </w:r>
      </w:hyperlink>
      <w:r w:rsidRPr="00CE6B92">
        <w:rPr>
          <w:rFonts w:ascii="Aptos" w:eastAsia="Aptos" w:hAnsi="Aptos" w:cs="Aptos"/>
          <w:szCs w:val="28"/>
          <w:lang w:val="en-GB" w:eastAsia="zh-CN" w:bidi="th-TH"/>
        </w:rPr>
        <w:t xml:space="preserve">, </w:t>
      </w:r>
      <w:proofErr w:type="spellStart"/>
      <w:r w:rsidRPr="00CE6B92">
        <w:rPr>
          <w:rFonts w:ascii="Aptos" w:eastAsia="Aptos" w:hAnsi="Aptos" w:cs="Aptos"/>
          <w:szCs w:val="28"/>
          <w:lang w:val="en-GB" w:eastAsia="zh-CN" w:bidi="th-TH"/>
        </w:rPr>
        <w:t>Questacon</w:t>
      </w:r>
      <w:proofErr w:type="spellEnd"/>
      <w:r w:rsidRPr="00CE6B92">
        <w:rPr>
          <w:rFonts w:ascii="Aptos" w:eastAsia="Aptos" w:hAnsi="Aptos" w:cs="Aptos"/>
          <w:szCs w:val="28"/>
          <w:lang w:val="en-GB" w:eastAsia="zh-CN" w:bidi="th-TH"/>
        </w:rPr>
        <w:t xml:space="preserve">, accessed </w:t>
      </w:r>
      <w:r w:rsidR="002A35E5">
        <w:rPr>
          <w:rFonts w:ascii="Aptos" w:eastAsia="Aptos" w:hAnsi="Aptos" w:cs="Aptos"/>
          <w:szCs w:val="28"/>
          <w:lang w:val="en-GB" w:eastAsia="zh-CN" w:bidi="th-TH"/>
        </w:rPr>
        <w:br/>
      </w:r>
      <w:r w:rsidRPr="00CE6B92">
        <w:rPr>
          <w:rFonts w:ascii="Aptos" w:eastAsia="Aptos" w:hAnsi="Aptos" w:cs="Aptos"/>
          <w:szCs w:val="28"/>
          <w:lang w:val="en-GB" w:eastAsia="zh-CN" w:bidi="th-TH"/>
        </w:rPr>
        <w:t>5</w:t>
      </w:r>
      <w:r w:rsidR="00EA5229">
        <w:rPr>
          <w:rFonts w:ascii="Aptos" w:eastAsia="Aptos" w:hAnsi="Aptos" w:cs="Aptos"/>
          <w:szCs w:val="28"/>
          <w:lang w:val="en-GB" w:eastAsia="zh-CN" w:bidi="th-TH"/>
        </w:rPr>
        <w:t> </w:t>
      </w:r>
      <w:r w:rsidRPr="00CE6B92">
        <w:rPr>
          <w:rFonts w:ascii="Aptos" w:eastAsia="Aptos" w:hAnsi="Aptos" w:cs="Aptos"/>
          <w:szCs w:val="28"/>
          <w:lang w:val="en-GB" w:eastAsia="zh-CN" w:bidi="th-TH"/>
        </w:rPr>
        <w:t xml:space="preserve">February 2025. </w:t>
      </w:r>
    </w:p>
    <w:p w14:paraId="2623E494" w14:textId="77777777"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Referendum Council (2017) </w:t>
      </w:r>
      <w:hyperlink r:id="rId133">
        <w:r w:rsidRPr="00E50541">
          <w:rPr>
            <w:rStyle w:val="Hyperlink"/>
            <w:i/>
            <w:iCs/>
          </w:rPr>
          <w:t>Final report of the Referendum Council</w:t>
        </w:r>
      </w:hyperlink>
      <w:r w:rsidRPr="00CE6B92">
        <w:rPr>
          <w:rFonts w:ascii="Aptos" w:eastAsia="Aptos" w:hAnsi="Aptos" w:cs="Aptos"/>
          <w:szCs w:val="28"/>
          <w:lang w:val="en-GB" w:eastAsia="zh-CN" w:bidi="th-TH"/>
        </w:rPr>
        <w:t xml:space="preserve">, Commonwealth of Australia, Canberra. </w:t>
      </w:r>
    </w:p>
    <w:p w14:paraId="4A04D35D" w14:textId="44B10A0E" w:rsidR="00CE6B92" w:rsidRPr="00CE6B92" w:rsidRDefault="00CE6B92" w:rsidP="005D7D39">
      <w:pPr>
        <w:shd w:val="clear" w:color="auto" w:fill="FFFFFF"/>
        <w:rPr>
          <w:rFonts w:ascii="Aptos" w:eastAsia="Aptos" w:hAnsi="Aptos" w:cs="Aptos"/>
          <w:szCs w:val="28"/>
          <w:lang w:val="en-GB" w:eastAsia="zh-CN" w:bidi="th-TH"/>
        </w:rPr>
      </w:pPr>
      <w:r w:rsidRPr="00CE6B92">
        <w:rPr>
          <w:rFonts w:ascii="Aptos" w:eastAsia="Aptos" w:hAnsi="Aptos" w:cs="Aptos"/>
          <w:szCs w:val="28"/>
          <w:lang w:val="en-GB" w:eastAsia="zh-CN" w:bidi="th-TH"/>
        </w:rPr>
        <w:t>Rentschler R, Bridson K and Evans J (2015)</w:t>
      </w:r>
      <w:r w:rsidRPr="00CE6B92">
        <w:rPr>
          <w:rFonts w:ascii="Aptos" w:eastAsia="Aptos" w:hAnsi="Aptos" w:cs="Aptos"/>
          <w:i/>
          <w:iCs/>
          <w:szCs w:val="28"/>
          <w:lang w:val="en-GB" w:eastAsia="zh-CN" w:bidi="th-TH"/>
        </w:rPr>
        <w:t xml:space="preserve"> </w:t>
      </w:r>
      <w:hyperlink r:id="rId134">
        <w:r w:rsidRPr="003F5459">
          <w:rPr>
            <w:rStyle w:val="Hyperlink"/>
            <w:i/>
            <w:iCs/>
          </w:rPr>
          <w:t>Stats and stories</w:t>
        </w:r>
        <w:r w:rsidR="004909EB">
          <w:rPr>
            <w:rStyle w:val="Hyperlink"/>
            <w:i/>
            <w:iCs/>
          </w:rPr>
          <w:t xml:space="preserve"> theme 1</w:t>
        </w:r>
        <w:r w:rsidRPr="003F5459">
          <w:rPr>
            <w:rStyle w:val="Hyperlink"/>
            <w:i/>
            <w:iCs/>
          </w:rPr>
          <w:t xml:space="preserve">: </w:t>
        </w:r>
        <w:r w:rsidR="00171C1E">
          <w:rPr>
            <w:rStyle w:val="Hyperlink"/>
            <w:i/>
            <w:iCs/>
          </w:rPr>
          <w:t>Community Connectedness - t</w:t>
        </w:r>
        <w:r w:rsidRPr="003F5459">
          <w:rPr>
            <w:rStyle w:val="Hyperlink"/>
            <w:i/>
            <w:iCs/>
          </w:rPr>
          <w:t xml:space="preserve">he </w:t>
        </w:r>
        <w:r w:rsidR="00171C1E">
          <w:rPr>
            <w:rStyle w:val="Hyperlink"/>
            <w:i/>
            <w:iCs/>
          </w:rPr>
          <w:t>i</w:t>
        </w:r>
        <w:r w:rsidRPr="003F5459">
          <w:rPr>
            <w:rStyle w:val="Hyperlink"/>
            <w:i/>
            <w:iCs/>
          </w:rPr>
          <w:t>mpact of the arts in regional Australia</w:t>
        </w:r>
      </w:hyperlink>
      <w:r w:rsidRPr="00CE6B92">
        <w:rPr>
          <w:rFonts w:ascii="Aptos" w:eastAsia="Aptos" w:hAnsi="Aptos" w:cs="Aptos"/>
          <w:szCs w:val="28"/>
          <w:lang w:val="en-GB" w:eastAsia="zh-CN" w:bidi="th-TH"/>
        </w:rPr>
        <w:t xml:space="preserve"> </w:t>
      </w:r>
      <w:r w:rsidR="00171C1E">
        <w:rPr>
          <w:rFonts w:ascii="Aptos" w:eastAsia="Aptos" w:hAnsi="Aptos" w:cs="Aptos"/>
          <w:szCs w:val="28"/>
          <w:lang w:val="en-GB" w:eastAsia="zh-CN" w:bidi="th-TH"/>
        </w:rPr>
        <w:t xml:space="preserve">[PDF], </w:t>
      </w:r>
      <w:r w:rsidRPr="00CE6B92">
        <w:rPr>
          <w:rFonts w:ascii="Aptos" w:eastAsia="Aptos" w:hAnsi="Aptos" w:cs="Aptos"/>
          <w:szCs w:val="28"/>
          <w:lang w:val="en-GB" w:eastAsia="zh-CN" w:bidi="th-TH"/>
        </w:rPr>
        <w:t>Deakin University, Geelong.</w:t>
      </w:r>
      <w:r w:rsidR="001404FB">
        <w:rPr>
          <w:rFonts w:ascii="Aptos" w:eastAsia="Aptos" w:hAnsi="Aptos" w:cs="Aptos"/>
          <w:szCs w:val="28"/>
          <w:lang w:val="en-GB" w:eastAsia="zh-CN" w:bidi="th-TH"/>
        </w:rPr>
        <w:t xml:space="preserve"> </w:t>
      </w:r>
    </w:p>
    <w:p w14:paraId="362D6935" w14:textId="5CBC4BC7" w:rsidR="00CE6B92" w:rsidRPr="00CE6B92" w:rsidRDefault="00CE6B92" w:rsidP="005D7D39">
      <w:pPr>
        <w:rPr>
          <w:rFonts w:ascii="Aptos" w:eastAsia="Aptos" w:hAnsi="Aptos" w:cs="Aptos"/>
          <w:szCs w:val="28"/>
          <w:lang w:val="en-GB" w:eastAsia="zh-CN" w:bidi="th-TH"/>
        </w:rPr>
      </w:pPr>
      <w:proofErr w:type="spellStart"/>
      <w:r w:rsidRPr="00CE6B92">
        <w:rPr>
          <w:rFonts w:ascii="Aptos" w:eastAsia="Aptos" w:hAnsi="Aptos" w:cs="Aptos"/>
          <w:szCs w:val="28"/>
          <w:lang w:val="en-GB" w:eastAsia="zh-CN" w:bidi="th-TH"/>
        </w:rPr>
        <w:t>Revez</w:t>
      </w:r>
      <w:proofErr w:type="spellEnd"/>
      <w:r w:rsidRPr="00CE6B92">
        <w:rPr>
          <w:rFonts w:ascii="Aptos" w:eastAsia="Aptos" w:hAnsi="Aptos" w:cs="Aptos"/>
          <w:szCs w:val="28"/>
          <w:lang w:val="en-GB" w:eastAsia="zh-CN" w:bidi="th-TH"/>
        </w:rPr>
        <w:t xml:space="preserve"> J and Corujo L (2021) ‘Librarians against fake news: A systematic literature review of library practices,’ </w:t>
      </w:r>
      <w:r w:rsidRPr="00CE6B92">
        <w:rPr>
          <w:rFonts w:ascii="Aptos" w:eastAsia="Aptos" w:hAnsi="Aptos" w:cs="Aptos"/>
          <w:i/>
          <w:iCs/>
          <w:szCs w:val="28"/>
          <w:lang w:val="en-GB" w:eastAsia="zh-CN" w:bidi="th-TH"/>
        </w:rPr>
        <w:t xml:space="preserve">The Journal of Academic Librarianship, </w:t>
      </w:r>
      <w:r w:rsidRPr="00CE6B92">
        <w:rPr>
          <w:rFonts w:ascii="Aptos" w:eastAsia="Aptos" w:hAnsi="Aptos" w:cs="Aptos"/>
          <w:szCs w:val="28"/>
          <w:lang w:val="en-GB" w:eastAsia="zh-CN" w:bidi="th-TH"/>
        </w:rPr>
        <w:t>47(2)</w:t>
      </w:r>
      <w:r w:rsidR="00171C1E">
        <w:rPr>
          <w:rFonts w:ascii="Aptos" w:eastAsia="Aptos" w:hAnsi="Aptos" w:cs="Aptos"/>
          <w:szCs w:val="28"/>
          <w:lang w:val="en-GB" w:eastAsia="zh-CN" w:bidi="th-TH"/>
        </w:rPr>
        <w:t>:</w:t>
      </w:r>
      <w:r w:rsidRPr="00CE6B92">
        <w:rPr>
          <w:rFonts w:ascii="Aptos" w:eastAsia="Aptos" w:hAnsi="Aptos" w:cs="Aptos"/>
          <w:szCs w:val="28"/>
          <w:lang w:val="en-GB" w:eastAsia="zh-CN" w:bidi="th-TH"/>
        </w:rPr>
        <w:t xml:space="preserve">102304, </w:t>
      </w:r>
      <w:hyperlink r:id="rId135" w:history="1">
        <w:r w:rsidR="00171C1E" w:rsidRPr="00FB763F">
          <w:rPr>
            <w:rStyle w:val="Hyperlink"/>
          </w:rPr>
          <w:t>https://doi.org/10.1016/j.acalib.2020.102304</w:t>
        </w:r>
      </w:hyperlink>
      <w:r w:rsidRPr="00CE6B92">
        <w:rPr>
          <w:rFonts w:ascii="Aptos" w:eastAsia="Aptos" w:hAnsi="Aptos" w:cs="Aptos"/>
          <w:szCs w:val="28"/>
          <w:lang w:val="en-GB" w:eastAsia="zh-CN" w:bidi="th-TH"/>
        </w:rPr>
        <w:t>.</w:t>
      </w:r>
      <w:r w:rsidR="00171C1E">
        <w:rPr>
          <w:rFonts w:ascii="Aptos" w:eastAsia="Aptos" w:hAnsi="Aptos" w:cs="Aptos"/>
          <w:szCs w:val="28"/>
          <w:lang w:val="en-GB" w:eastAsia="zh-CN" w:bidi="th-TH"/>
        </w:rPr>
        <w:t xml:space="preserve"> </w:t>
      </w:r>
      <w:r w:rsidRPr="00CE6B92">
        <w:rPr>
          <w:rFonts w:ascii="Aptos" w:eastAsia="Aptos" w:hAnsi="Aptos" w:cs="Aptos"/>
          <w:szCs w:val="28"/>
          <w:lang w:val="en-GB" w:eastAsia="zh-CN" w:bidi="th-TH"/>
        </w:rPr>
        <w:t xml:space="preserve"> </w:t>
      </w:r>
    </w:p>
    <w:p w14:paraId="0729E89B" w14:textId="77777777"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Riboldi M, Fennis L and Stears M (2022) </w:t>
      </w:r>
      <w:hyperlink r:id="rId136">
        <w:r w:rsidRPr="000B08AF">
          <w:rPr>
            <w:rStyle w:val="Hyperlink"/>
            <w:i/>
            <w:iCs/>
          </w:rPr>
          <w:t>Nurturing links across civil society: Lessons from Australia’s for-purpose sector’s response to COVID-19</w:t>
        </w:r>
      </w:hyperlink>
      <w:r w:rsidRPr="00CE6B92">
        <w:rPr>
          <w:rFonts w:ascii="Aptos" w:eastAsia="Aptos" w:hAnsi="Aptos" w:cs="Aptos"/>
          <w:szCs w:val="28"/>
          <w:lang w:val="en-GB" w:eastAsia="zh-CN" w:bidi="th-TH"/>
        </w:rPr>
        <w:t xml:space="preserve">, Sydney Policy Lab, University of Sydney, Sydney. </w:t>
      </w:r>
    </w:p>
    <w:p w14:paraId="6DCD2752" w14:textId="7C053785"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Ridge M, Blickhan S, Ferriter M, Berglund Prytz Y, Brumfield B, Brumfield S, Burgher D, Casey J, Coleman S, Cybulska D, Haley Goldman M, Luther K, Mast A, White N, Wilkins N and Wilcox P (2021) </w:t>
      </w:r>
      <w:r w:rsidRPr="00CE6B92">
        <w:rPr>
          <w:rFonts w:ascii="Aptos" w:eastAsia="Aptos" w:hAnsi="Aptos" w:cs="Aptos"/>
          <w:i/>
          <w:iCs/>
          <w:szCs w:val="28"/>
          <w:lang w:val="en-GB" w:eastAsia="zh-CN" w:bidi="th-TH"/>
        </w:rPr>
        <w:t>The collective wisdom handbook: Perspectives on crowdsourcing in cultural heritage,</w:t>
      </w:r>
      <w:r w:rsidR="000B08AF" w:rsidRPr="000B08AF">
        <w:t xml:space="preserve"> </w:t>
      </w:r>
      <w:hyperlink r:id="rId137" w:history="1">
        <w:r w:rsidR="000B08AF" w:rsidRPr="00FB763F">
          <w:rPr>
            <w:rStyle w:val="Hyperlink"/>
          </w:rPr>
          <w:t>https://doi.org/10.21428/a5d7554f.1b80974b</w:t>
        </w:r>
      </w:hyperlink>
      <w:r w:rsidRPr="00CE6B92">
        <w:rPr>
          <w:rFonts w:ascii="Aptos" w:eastAsia="Aptos" w:hAnsi="Aptos" w:cs="Aptos"/>
          <w:szCs w:val="28"/>
          <w:lang w:val="en-GB" w:eastAsia="zh-CN" w:bidi="th-TH"/>
        </w:rPr>
        <w:t>.</w:t>
      </w:r>
      <w:r w:rsidR="000B08AF">
        <w:rPr>
          <w:rFonts w:ascii="Aptos" w:eastAsia="Aptos" w:hAnsi="Aptos" w:cs="Aptos"/>
          <w:szCs w:val="28"/>
          <w:lang w:val="en-GB" w:eastAsia="zh-CN" w:bidi="th-TH"/>
        </w:rPr>
        <w:t xml:space="preserve"> </w:t>
      </w:r>
      <w:r w:rsidRPr="00CE6B92">
        <w:rPr>
          <w:rFonts w:ascii="Aptos" w:eastAsia="Aptos" w:hAnsi="Aptos" w:cs="Aptos"/>
          <w:szCs w:val="28"/>
          <w:lang w:val="en-GB" w:eastAsia="zh-CN" w:bidi="th-TH"/>
        </w:rPr>
        <w:t xml:space="preserve"> </w:t>
      </w:r>
    </w:p>
    <w:p w14:paraId="726A6AA6" w14:textId="2A7A3C9A" w:rsidR="00CE6B92" w:rsidRPr="00CE6B92" w:rsidRDefault="00CE6B92" w:rsidP="005D7D39">
      <w:pPr>
        <w:rPr>
          <w:rFonts w:ascii="Aptos" w:eastAsia="Aptos" w:hAnsi="Aptos" w:cs="Aptos"/>
          <w:szCs w:val="28"/>
          <w:lang w:eastAsia="zh-CN" w:bidi="th-TH"/>
        </w:rPr>
      </w:pPr>
      <w:r w:rsidRPr="00CE6B92">
        <w:rPr>
          <w:rFonts w:ascii="Aptos" w:eastAsia="Aptos" w:hAnsi="Aptos" w:cs="Aptos"/>
          <w:szCs w:val="28"/>
          <w:lang w:eastAsia="zh-CN" w:bidi="th-TH"/>
        </w:rPr>
        <w:t xml:space="preserve">Rosenberg TJ (2011) ‘History museums and social cohesion: Building identity, bridging communities and addressing difficult issues’, </w:t>
      </w:r>
      <w:r w:rsidRPr="00CE6B92">
        <w:rPr>
          <w:rFonts w:ascii="Aptos" w:eastAsia="Aptos" w:hAnsi="Aptos" w:cs="Aptos"/>
          <w:i/>
          <w:iCs/>
          <w:szCs w:val="28"/>
          <w:lang w:eastAsia="zh-CN" w:bidi="th-TH"/>
        </w:rPr>
        <w:t>Peabody Journal of Education</w:t>
      </w:r>
      <w:r w:rsidRPr="00CE6B92">
        <w:rPr>
          <w:rFonts w:ascii="Aptos" w:eastAsia="Aptos" w:hAnsi="Aptos" w:cs="Aptos"/>
          <w:szCs w:val="28"/>
          <w:lang w:eastAsia="zh-CN" w:bidi="th-TH"/>
        </w:rPr>
        <w:t>, 86(2):115–128</w:t>
      </w:r>
      <w:r w:rsidR="004B1889">
        <w:rPr>
          <w:rFonts w:ascii="Aptos" w:eastAsia="Aptos" w:hAnsi="Aptos" w:cs="Aptos"/>
          <w:szCs w:val="28"/>
          <w:lang w:eastAsia="zh-CN" w:bidi="th-TH"/>
        </w:rPr>
        <w:t xml:space="preserve">, </w:t>
      </w:r>
      <w:hyperlink r:id="rId138" w:history="1">
        <w:r w:rsidR="00983823" w:rsidRPr="00FB763F">
          <w:rPr>
            <w:rStyle w:val="Hyperlink"/>
            <w:rFonts w:ascii="Aptos" w:eastAsia="Aptos" w:hAnsi="Aptos" w:cs="Aptos"/>
            <w:szCs w:val="28"/>
            <w:lang w:eastAsia="zh-CN" w:bidi="th-TH"/>
          </w:rPr>
          <w:t>https://doi.org/10.1080/0161956X.2011.561171</w:t>
        </w:r>
      </w:hyperlink>
      <w:r w:rsidR="004B1889">
        <w:rPr>
          <w:rFonts w:ascii="Aptos" w:eastAsia="Aptos" w:hAnsi="Aptos" w:cs="Aptos"/>
          <w:szCs w:val="28"/>
          <w:lang w:eastAsia="zh-CN" w:bidi="th-TH"/>
        </w:rPr>
        <w:t>.</w:t>
      </w:r>
      <w:r w:rsidR="00983823">
        <w:rPr>
          <w:rFonts w:ascii="Aptos" w:eastAsia="Aptos" w:hAnsi="Aptos" w:cs="Aptos"/>
          <w:szCs w:val="28"/>
          <w:lang w:eastAsia="zh-CN" w:bidi="th-TH"/>
        </w:rPr>
        <w:t xml:space="preserve"> </w:t>
      </w:r>
      <w:r w:rsidR="004B1889">
        <w:rPr>
          <w:rFonts w:ascii="Aptos" w:eastAsia="Aptos" w:hAnsi="Aptos" w:cs="Aptos"/>
          <w:szCs w:val="28"/>
          <w:lang w:eastAsia="zh-CN" w:bidi="th-TH"/>
        </w:rPr>
        <w:t xml:space="preserve"> </w:t>
      </w:r>
    </w:p>
    <w:p w14:paraId="778A57DD" w14:textId="403E02B6"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Rupar M, </w:t>
      </w:r>
      <w:proofErr w:type="spellStart"/>
      <w:r w:rsidRPr="00CE6B92">
        <w:rPr>
          <w:rFonts w:ascii="Aptos" w:eastAsia="Aptos" w:hAnsi="Aptos" w:cs="Aptos"/>
          <w:szCs w:val="28"/>
          <w:lang w:val="en-GB" w:eastAsia="zh-CN" w:bidi="th-TH"/>
        </w:rPr>
        <w:t>Sekerdej</w:t>
      </w:r>
      <w:proofErr w:type="spellEnd"/>
      <w:r w:rsidRPr="00CE6B92">
        <w:rPr>
          <w:rFonts w:ascii="Aptos" w:eastAsia="Aptos" w:hAnsi="Aptos" w:cs="Aptos"/>
          <w:szCs w:val="28"/>
          <w:lang w:val="en-GB" w:eastAsia="zh-CN" w:bidi="th-TH"/>
        </w:rPr>
        <w:t xml:space="preserve"> M and </w:t>
      </w:r>
      <w:proofErr w:type="spellStart"/>
      <w:r w:rsidRPr="00CE6B92">
        <w:rPr>
          <w:rFonts w:ascii="Aptos" w:eastAsia="Aptos" w:hAnsi="Aptos" w:cs="Aptos"/>
          <w:szCs w:val="28"/>
          <w:lang w:val="en-GB" w:eastAsia="zh-CN" w:bidi="th-TH"/>
        </w:rPr>
        <w:t>Jamróz</w:t>
      </w:r>
      <w:proofErr w:type="spellEnd"/>
      <w:r w:rsidRPr="00CE6B92">
        <w:rPr>
          <w:rFonts w:ascii="Aptos" w:eastAsia="Aptos" w:hAnsi="Aptos" w:cs="Aptos"/>
          <w:szCs w:val="28"/>
          <w:lang w:val="en-GB" w:eastAsia="zh-CN" w:bidi="th-TH"/>
        </w:rPr>
        <w:t xml:space="preserve">-Dolińska K (2021) ‘The role of national identification in explaining political and social civic engagement,’ </w:t>
      </w:r>
      <w:r w:rsidRPr="00CE6B92">
        <w:rPr>
          <w:rFonts w:ascii="Aptos" w:eastAsia="Aptos" w:hAnsi="Aptos" w:cs="Aptos"/>
          <w:i/>
          <w:iCs/>
          <w:szCs w:val="28"/>
          <w:lang w:val="en-GB" w:eastAsia="zh-CN" w:bidi="th-TH"/>
        </w:rPr>
        <w:t>Group Processes and Intergroup Relations</w:t>
      </w:r>
      <w:r w:rsidRPr="00CE6B92">
        <w:rPr>
          <w:rFonts w:ascii="Aptos" w:eastAsia="Aptos" w:hAnsi="Aptos" w:cs="Aptos"/>
          <w:szCs w:val="28"/>
          <w:lang w:val="en-GB" w:eastAsia="zh-CN" w:bidi="th-TH"/>
        </w:rPr>
        <w:t>, 24(8):1515–1537,</w:t>
      </w:r>
      <w:hyperlink r:id="rId139">
        <w:r w:rsidRPr="00CE6B92">
          <w:rPr>
            <w:rFonts w:ascii="Aptos" w:eastAsia="Aptos" w:hAnsi="Aptos" w:cs="Aptos"/>
            <w:szCs w:val="28"/>
            <w:u w:val="single"/>
            <w:lang w:val="en-GB" w:eastAsia="zh-CN" w:bidi="th-TH"/>
          </w:rPr>
          <w:t xml:space="preserve"> </w:t>
        </w:r>
      </w:hyperlink>
      <w:hyperlink r:id="rId140" w:history="1">
        <w:r w:rsidR="00282446" w:rsidRPr="00FB763F">
          <w:rPr>
            <w:rStyle w:val="Hyperlink"/>
          </w:rPr>
          <w:t>https://doi.org/10.1177/1368430220967975</w:t>
        </w:r>
      </w:hyperlink>
      <w:r w:rsidR="00282446">
        <w:t xml:space="preserve">. </w:t>
      </w:r>
      <w:r w:rsidRPr="00CE6B92">
        <w:rPr>
          <w:rFonts w:ascii="Aptos" w:eastAsia="Aptos" w:hAnsi="Aptos" w:cs="Aptos"/>
          <w:szCs w:val="28"/>
          <w:lang w:val="en-GB" w:eastAsia="zh-CN" w:bidi="th-TH"/>
        </w:rPr>
        <w:t xml:space="preserve"> </w:t>
      </w:r>
    </w:p>
    <w:p w14:paraId="1159B957" w14:textId="77777777"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Senate Legal and Constitutional Affairs References Committee (2021) </w:t>
      </w:r>
      <w:hyperlink r:id="rId141">
        <w:r w:rsidRPr="00282446">
          <w:rPr>
            <w:rStyle w:val="Hyperlink"/>
            <w:i/>
            <w:iCs/>
          </w:rPr>
          <w:t>Nationhood, national identity and democracy</w:t>
        </w:r>
      </w:hyperlink>
      <w:r w:rsidRPr="00CE6B92">
        <w:rPr>
          <w:rFonts w:ascii="Aptos" w:eastAsia="Aptos" w:hAnsi="Aptos" w:cs="Aptos"/>
          <w:i/>
          <w:iCs/>
          <w:szCs w:val="28"/>
          <w:lang w:val="en-GB" w:eastAsia="zh-CN" w:bidi="th-TH"/>
        </w:rPr>
        <w:t xml:space="preserve">, </w:t>
      </w:r>
      <w:r w:rsidRPr="00CE6B92">
        <w:rPr>
          <w:rFonts w:ascii="Aptos" w:eastAsia="Aptos" w:hAnsi="Aptos" w:cs="Aptos"/>
          <w:szCs w:val="28"/>
          <w:lang w:val="en-GB" w:eastAsia="zh-CN" w:bidi="th-TH"/>
        </w:rPr>
        <w:t xml:space="preserve">Commonwealth of Australia, Canberra. </w:t>
      </w:r>
    </w:p>
    <w:p w14:paraId="3A28026B" w14:textId="2836E48F"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Sherratt T (2021) ‘More than newspapers’, </w:t>
      </w:r>
      <w:r w:rsidRPr="00CE6B92">
        <w:rPr>
          <w:rFonts w:ascii="Aptos" w:eastAsia="Aptos" w:hAnsi="Aptos" w:cs="Aptos"/>
          <w:i/>
          <w:iCs/>
          <w:szCs w:val="28"/>
          <w:lang w:val="en-GB" w:eastAsia="zh-CN" w:bidi="th-TH"/>
        </w:rPr>
        <w:t xml:space="preserve">History Australia, </w:t>
      </w:r>
      <w:r w:rsidRPr="00CE6B92">
        <w:rPr>
          <w:rFonts w:ascii="Aptos" w:eastAsia="Aptos" w:hAnsi="Aptos" w:cs="Aptos"/>
          <w:szCs w:val="28"/>
          <w:lang w:val="en-GB" w:eastAsia="zh-CN" w:bidi="th-TH"/>
        </w:rPr>
        <w:t>18(4):837–8</w:t>
      </w:r>
      <w:r w:rsidR="005043B0">
        <w:rPr>
          <w:rFonts w:ascii="Aptos" w:eastAsia="Aptos" w:hAnsi="Aptos" w:cs="Aptos"/>
          <w:szCs w:val="28"/>
          <w:lang w:val="en-GB" w:eastAsia="zh-CN" w:bidi="th-TH"/>
        </w:rPr>
        <w:t>40</w:t>
      </w:r>
      <w:r w:rsidRPr="00CE6B92">
        <w:rPr>
          <w:rFonts w:ascii="Aptos" w:eastAsia="Aptos" w:hAnsi="Aptos" w:cs="Aptos"/>
          <w:szCs w:val="28"/>
          <w:lang w:val="en-GB" w:eastAsia="zh-CN" w:bidi="th-TH"/>
        </w:rPr>
        <w:t xml:space="preserve">, </w:t>
      </w:r>
      <w:hyperlink r:id="rId142" w:history="1">
        <w:r w:rsidR="005043B0" w:rsidRPr="00FB763F">
          <w:rPr>
            <w:rStyle w:val="Hyperlink"/>
          </w:rPr>
          <w:t>https://doi.org/10.1080/14490854.2021.1993744</w:t>
        </w:r>
      </w:hyperlink>
      <w:r w:rsidRPr="00CE6B92">
        <w:rPr>
          <w:rFonts w:ascii="Aptos" w:eastAsia="Aptos" w:hAnsi="Aptos" w:cs="Aptos"/>
          <w:szCs w:val="28"/>
          <w:lang w:val="en-GB" w:eastAsia="zh-CN" w:bidi="th-TH"/>
        </w:rPr>
        <w:t>.</w:t>
      </w:r>
      <w:r w:rsidR="005043B0">
        <w:rPr>
          <w:rFonts w:ascii="Aptos" w:eastAsia="Aptos" w:hAnsi="Aptos" w:cs="Aptos"/>
          <w:szCs w:val="28"/>
          <w:lang w:val="en-GB" w:eastAsia="zh-CN" w:bidi="th-TH"/>
        </w:rPr>
        <w:t xml:space="preserve"> </w:t>
      </w:r>
      <w:r w:rsidRPr="00CE6B92">
        <w:rPr>
          <w:rFonts w:ascii="Aptos" w:eastAsia="Aptos" w:hAnsi="Aptos" w:cs="Aptos"/>
          <w:szCs w:val="28"/>
          <w:lang w:val="en-GB" w:eastAsia="zh-CN" w:bidi="th-TH"/>
        </w:rPr>
        <w:t xml:space="preserve"> </w:t>
      </w:r>
    </w:p>
    <w:p w14:paraId="2BF1851C" w14:textId="5257BBC2"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Shiri A, Howard D and Farnel S (2021) ‘Indigenous digital storytelling: Digital interfaces supporting cultural heritage preservation and access’, </w:t>
      </w:r>
      <w:r w:rsidRPr="00CE6B92">
        <w:rPr>
          <w:rFonts w:ascii="Aptos" w:eastAsia="Aptos" w:hAnsi="Aptos" w:cs="Aptos"/>
          <w:i/>
          <w:iCs/>
          <w:szCs w:val="28"/>
          <w:lang w:val="en-GB" w:eastAsia="zh-CN" w:bidi="th-TH"/>
        </w:rPr>
        <w:t>The International Information and Library Review</w:t>
      </w:r>
      <w:r w:rsidRPr="00CE6B92">
        <w:rPr>
          <w:rFonts w:ascii="Aptos" w:eastAsia="Aptos" w:hAnsi="Aptos" w:cs="Aptos"/>
          <w:szCs w:val="28"/>
          <w:lang w:val="en-GB" w:eastAsia="zh-CN" w:bidi="th-TH"/>
        </w:rPr>
        <w:t xml:space="preserve">, 54(2):93–114, </w:t>
      </w:r>
      <w:hyperlink r:id="rId143" w:history="1">
        <w:r w:rsidR="002F0EE5" w:rsidRPr="00FB763F">
          <w:rPr>
            <w:rStyle w:val="Hyperlink"/>
          </w:rPr>
          <w:t>https://doi.org/10.1080/10572317.2021.1946748</w:t>
        </w:r>
      </w:hyperlink>
      <w:r w:rsidRPr="00CE6B92">
        <w:rPr>
          <w:rFonts w:ascii="Aptos" w:eastAsia="Aptos" w:hAnsi="Aptos" w:cs="Aptos"/>
          <w:szCs w:val="28"/>
          <w:lang w:val="en-GB" w:eastAsia="zh-CN" w:bidi="th-TH"/>
        </w:rPr>
        <w:t>.</w:t>
      </w:r>
      <w:r w:rsidR="002F0EE5">
        <w:rPr>
          <w:rFonts w:ascii="Aptos" w:eastAsia="Aptos" w:hAnsi="Aptos" w:cs="Aptos"/>
          <w:szCs w:val="28"/>
          <w:lang w:val="en-GB" w:eastAsia="zh-CN" w:bidi="th-TH"/>
        </w:rPr>
        <w:t xml:space="preserve"> </w:t>
      </w:r>
      <w:r w:rsidRPr="00CE6B92">
        <w:rPr>
          <w:rFonts w:ascii="Aptos" w:eastAsia="Aptos" w:hAnsi="Aptos" w:cs="Aptos"/>
          <w:szCs w:val="28"/>
          <w:lang w:val="en-GB" w:eastAsia="zh-CN" w:bidi="th-TH"/>
        </w:rPr>
        <w:t xml:space="preserve"> </w:t>
      </w:r>
    </w:p>
    <w:p w14:paraId="6B8C4C86" w14:textId="22B6DF6E"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Stevenson D, Barns S, Clements J, </w:t>
      </w:r>
      <w:proofErr w:type="spellStart"/>
      <w:r w:rsidRPr="00CE6B92">
        <w:rPr>
          <w:rFonts w:ascii="Aptos" w:eastAsia="Aptos" w:hAnsi="Aptos" w:cs="Aptos"/>
          <w:szCs w:val="28"/>
          <w:lang w:val="en-GB" w:eastAsia="zh-CN" w:bidi="th-TH"/>
        </w:rPr>
        <w:t>Cmielewski</w:t>
      </w:r>
      <w:proofErr w:type="spellEnd"/>
      <w:r w:rsidRPr="00CE6B92">
        <w:rPr>
          <w:rFonts w:ascii="Aptos" w:eastAsia="Aptos" w:hAnsi="Aptos" w:cs="Aptos"/>
          <w:szCs w:val="28"/>
          <w:lang w:val="en-GB" w:eastAsia="zh-CN" w:bidi="th-TH"/>
        </w:rPr>
        <w:t xml:space="preserve"> C and Mar P (2019) </w:t>
      </w:r>
      <w:hyperlink r:id="rId144" w:history="1">
        <w:r w:rsidRPr="00B81208">
          <w:rPr>
            <w:rStyle w:val="Hyperlink"/>
            <w:rFonts w:ascii="Aptos" w:eastAsia="Aptos" w:hAnsi="Aptos" w:cs="Aptos"/>
            <w:i/>
            <w:iCs/>
            <w:szCs w:val="28"/>
            <w:lang w:val="en-GB" w:eastAsia="zh-CN" w:bidi="th-TH"/>
          </w:rPr>
          <w:t>The social impact of NSW arts, screen and culture programs</w:t>
        </w:r>
      </w:hyperlink>
      <w:r w:rsidR="00B81208">
        <w:rPr>
          <w:rFonts w:ascii="Aptos" w:eastAsia="Aptos" w:hAnsi="Aptos" w:cs="Aptos"/>
          <w:szCs w:val="28"/>
          <w:lang w:val="en-GB" w:eastAsia="zh-CN" w:bidi="th-TH"/>
        </w:rPr>
        <w:t xml:space="preserve"> [PDF]</w:t>
      </w:r>
      <w:r w:rsidR="00C62C85">
        <w:rPr>
          <w:rFonts w:ascii="Aptos" w:eastAsia="Aptos" w:hAnsi="Aptos" w:cs="Aptos"/>
          <w:szCs w:val="28"/>
          <w:lang w:val="en-GB" w:eastAsia="zh-CN" w:bidi="th-TH"/>
        </w:rPr>
        <w:t>,</w:t>
      </w:r>
      <w:r w:rsidRPr="00CE6B92">
        <w:rPr>
          <w:rFonts w:ascii="Aptos" w:eastAsia="Aptos" w:hAnsi="Aptos" w:cs="Aptos"/>
          <w:szCs w:val="28"/>
          <w:lang w:val="en-GB" w:eastAsia="zh-CN" w:bidi="th-TH"/>
        </w:rPr>
        <w:t xml:space="preserve"> Western Sydney University, Sydney</w:t>
      </w:r>
      <w:r w:rsidR="00B81208">
        <w:rPr>
          <w:rFonts w:ascii="Aptos" w:eastAsia="Aptos" w:hAnsi="Aptos" w:cs="Aptos"/>
          <w:szCs w:val="28"/>
          <w:lang w:val="en-GB" w:eastAsia="zh-CN" w:bidi="th-TH"/>
        </w:rPr>
        <w:t>.</w:t>
      </w:r>
    </w:p>
    <w:p w14:paraId="0060AA38" w14:textId="0FC3099B"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Strengthening Democracy Taskforce (2024) </w:t>
      </w:r>
      <w:hyperlink r:id="rId145">
        <w:r w:rsidRPr="00DE044F">
          <w:rPr>
            <w:rStyle w:val="Hyperlink"/>
            <w:i/>
            <w:iCs/>
          </w:rPr>
          <w:t>Strengthening Australian democracy: A practical agenda for democratic resilience</w:t>
        </w:r>
      </w:hyperlink>
      <w:r w:rsidR="00D211BE">
        <w:rPr>
          <w:rFonts w:ascii="Aptos" w:eastAsia="Aptos" w:hAnsi="Aptos" w:cs="Aptos"/>
          <w:szCs w:val="28"/>
          <w:lang w:val="en-GB" w:eastAsia="zh-CN" w:bidi="th-TH"/>
        </w:rPr>
        <w:t xml:space="preserve"> [PDF],</w:t>
      </w:r>
      <w:r w:rsidRPr="00CE6B92">
        <w:rPr>
          <w:rFonts w:ascii="Aptos" w:eastAsia="Aptos" w:hAnsi="Aptos" w:cs="Aptos"/>
          <w:szCs w:val="28"/>
          <w:lang w:val="en-GB" w:eastAsia="zh-CN" w:bidi="th-TH"/>
        </w:rPr>
        <w:t xml:space="preserve"> Department of Home Affairs, Commonwealth of Australia, Canberra. </w:t>
      </w:r>
    </w:p>
    <w:p w14:paraId="176ECB70" w14:textId="1935BF28"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Swain S, Musgrove N, O’Neill C and Thurley-Hart C (2021), ‘Trove and the history of childhood: combining microhistory and big data’, </w:t>
      </w:r>
      <w:r w:rsidRPr="00CE6B92">
        <w:rPr>
          <w:rFonts w:ascii="Aptos" w:eastAsia="Aptos" w:hAnsi="Aptos" w:cs="Aptos"/>
          <w:i/>
          <w:iCs/>
          <w:szCs w:val="28"/>
          <w:lang w:val="en-GB" w:eastAsia="zh-CN" w:bidi="th-TH"/>
        </w:rPr>
        <w:t xml:space="preserve">History Australia, </w:t>
      </w:r>
      <w:r w:rsidRPr="00CE6B92">
        <w:rPr>
          <w:rFonts w:ascii="Aptos" w:eastAsia="Aptos" w:hAnsi="Aptos" w:cs="Aptos"/>
          <w:szCs w:val="28"/>
          <w:lang w:val="en-GB" w:eastAsia="zh-CN" w:bidi="th-TH"/>
        </w:rPr>
        <w:t>18(4):840–84</w:t>
      </w:r>
      <w:r w:rsidR="00BB6A63">
        <w:rPr>
          <w:rFonts w:ascii="Aptos" w:eastAsia="Aptos" w:hAnsi="Aptos" w:cs="Aptos"/>
          <w:szCs w:val="28"/>
          <w:lang w:val="en-GB" w:eastAsia="zh-CN" w:bidi="th-TH"/>
        </w:rPr>
        <w:t>5</w:t>
      </w:r>
      <w:r w:rsidRPr="00CE6B92">
        <w:rPr>
          <w:rFonts w:ascii="Aptos" w:eastAsia="Aptos" w:hAnsi="Aptos" w:cs="Aptos"/>
          <w:szCs w:val="28"/>
          <w:lang w:val="en-GB" w:eastAsia="zh-CN" w:bidi="th-TH"/>
        </w:rPr>
        <w:t xml:space="preserve">, </w:t>
      </w:r>
      <w:hyperlink r:id="rId146" w:history="1">
        <w:r w:rsidR="00BB6A63" w:rsidRPr="00FB763F">
          <w:rPr>
            <w:rStyle w:val="Hyperlink"/>
          </w:rPr>
          <w:t>https://doi.org/10.1080/14490854.2021.1993742</w:t>
        </w:r>
      </w:hyperlink>
      <w:r w:rsidRPr="00CE6B92">
        <w:rPr>
          <w:rFonts w:ascii="Aptos" w:eastAsia="Aptos" w:hAnsi="Aptos" w:cs="Aptos"/>
          <w:szCs w:val="28"/>
          <w:lang w:val="en-GB" w:eastAsia="zh-CN" w:bidi="th-TH"/>
        </w:rPr>
        <w:t>.</w:t>
      </w:r>
      <w:r w:rsidR="00BB6A63">
        <w:rPr>
          <w:rFonts w:ascii="Aptos" w:eastAsia="Aptos" w:hAnsi="Aptos" w:cs="Aptos"/>
          <w:szCs w:val="28"/>
          <w:lang w:val="en-GB" w:eastAsia="zh-CN" w:bidi="th-TH"/>
        </w:rPr>
        <w:t xml:space="preserve"> </w:t>
      </w:r>
      <w:r w:rsidRPr="00CE6B92">
        <w:rPr>
          <w:rFonts w:ascii="Aptos" w:eastAsia="Aptos" w:hAnsi="Aptos" w:cs="Aptos"/>
          <w:szCs w:val="28"/>
          <w:lang w:val="en-GB" w:eastAsia="zh-CN" w:bidi="th-TH"/>
        </w:rPr>
        <w:t xml:space="preserve"> </w:t>
      </w:r>
    </w:p>
    <w:p w14:paraId="107F37CC" w14:textId="50756628"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Treasury (2023) </w:t>
      </w:r>
      <w:hyperlink r:id="rId147">
        <w:r w:rsidRPr="00BB6A63">
          <w:rPr>
            <w:rStyle w:val="Hyperlink"/>
            <w:i/>
            <w:iCs/>
          </w:rPr>
          <w:t>Measuring what matters: Australia’s first wellbeing framework</w:t>
        </w:r>
      </w:hyperlink>
      <w:r w:rsidRPr="00CE6B92">
        <w:rPr>
          <w:rFonts w:ascii="Aptos" w:eastAsia="Aptos" w:hAnsi="Aptos" w:cs="Aptos"/>
          <w:szCs w:val="28"/>
          <w:lang w:val="en-GB" w:eastAsia="zh-CN" w:bidi="th-TH"/>
        </w:rPr>
        <w:t xml:space="preserve">, Commonwealth of Australia, Canberra. </w:t>
      </w:r>
    </w:p>
    <w:p w14:paraId="7B8C401D" w14:textId="77777777"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lastRenderedPageBreak/>
        <w:t xml:space="preserve">Trinca M (2024, forthcoming) ‘Building cultural capital in the 21st century’ [conference presentation], Annual Australian Academy of the Humanities Symposium. </w:t>
      </w:r>
    </w:p>
    <w:p w14:paraId="4E8494F9" w14:textId="77777777"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Turner G (2023)</w:t>
      </w:r>
      <w:r w:rsidRPr="00CE6B92">
        <w:rPr>
          <w:rFonts w:ascii="Aptos" w:eastAsia="Aptos" w:hAnsi="Aptos" w:cs="Aptos"/>
          <w:i/>
          <w:iCs/>
          <w:szCs w:val="28"/>
          <w:lang w:val="en-GB" w:eastAsia="zh-CN" w:bidi="th-TH"/>
        </w:rPr>
        <w:t xml:space="preserve"> The shrinking nation</w:t>
      </w:r>
      <w:r w:rsidRPr="00CE6B92">
        <w:rPr>
          <w:rFonts w:ascii="Aptos" w:eastAsia="Aptos" w:hAnsi="Aptos" w:cs="Aptos"/>
          <w:szCs w:val="28"/>
          <w:lang w:val="en-GB" w:eastAsia="zh-CN" w:bidi="th-TH"/>
        </w:rPr>
        <w:t xml:space="preserve">, University of Queensland Press, Brisbane. </w:t>
      </w:r>
    </w:p>
    <w:p w14:paraId="4F53EAD9" w14:textId="2D64DAA9"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van der Meer TGLA, </w:t>
      </w:r>
      <w:proofErr w:type="spellStart"/>
      <w:r w:rsidRPr="00CE6B92">
        <w:rPr>
          <w:rFonts w:ascii="Aptos" w:eastAsia="Aptos" w:hAnsi="Aptos" w:cs="Aptos"/>
          <w:szCs w:val="28"/>
          <w:lang w:val="en-GB" w:eastAsia="zh-CN" w:bidi="th-TH"/>
        </w:rPr>
        <w:t>Hameleers</w:t>
      </w:r>
      <w:proofErr w:type="spellEnd"/>
      <w:r w:rsidRPr="00CE6B92">
        <w:rPr>
          <w:rFonts w:ascii="Aptos" w:eastAsia="Aptos" w:hAnsi="Aptos" w:cs="Aptos"/>
          <w:szCs w:val="28"/>
          <w:lang w:val="en-GB" w:eastAsia="zh-CN" w:bidi="th-TH"/>
        </w:rPr>
        <w:t xml:space="preserve"> M and Ohme J (2023) ‘Can fighting misinformation have a negative spillover effect? How warnings for the threat of misinformation can decrease general news credibility’, </w:t>
      </w:r>
      <w:r w:rsidRPr="00CE6B92">
        <w:rPr>
          <w:rFonts w:ascii="Aptos" w:eastAsia="Aptos" w:hAnsi="Aptos" w:cs="Aptos"/>
          <w:i/>
          <w:iCs/>
          <w:szCs w:val="28"/>
          <w:lang w:val="en-GB" w:eastAsia="zh-CN" w:bidi="th-TH"/>
        </w:rPr>
        <w:t>Journalism Studies</w:t>
      </w:r>
      <w:r w:rsidRPr="00CE6B92">
        <w:rPr>
          <w:rFonts w:ascii="Aptos" w:eastAsia="Aptos" w:hAnsi="Aptos" w:cs="Aptos"/>
          <w:szCs w:val="28"/>
          <w:lang w:val="en-GB" w:eastAsia="zh-CN" w:bidi="th-TH"/>
        </w:rPr>
        <w:t xml:space="preserve"> 24(6):803–823, </w:t>
      </w:r>
      <w:hyperlink r:id="rId148" w:history="1">
        <w:r w:rsidR="0056420C" w:rsidRPr="00FB763F">
          <w:rPr>
            <w:rStyle w:val="Hyperlink"/>
          </w:rPr>
          <w:t>https://doi.org/10.1080/1461670X.2023.2187652</w:t>
        </w:r>
      </w:hyperlink>
      <w:r w:rsidRPr="00CE6B92">
        <w:rPr>
          <w:rFonts w:ascii="Aptos" w:eastAsia="Aptos" w:hAnsi="Aptos" w:cs="Aptos"/>
          <w:szCs w:val="28"/>
          <w:lang w:val="en-GB" w:eastAsia="zh-CN" w:bidi="th-TH"/>
        </w:rPr>
        <w:t>.</w:t>
      </w:r>
      <w:r w:rsidR="0056420C">
        <w:rPr>
          <w:rFonts w:ascii="Aptos" w:eastAsia="Aptos" w:hAnsi="Aptos" w:cs="Aptos"/>
          <w:szCs w:val="28"/>
          <w:lang w:val="en-GB" w:eastAsia="zh-CN" w:bidi="th-TH"/>
        </w:rPr>
        <w:t xml:space="preserve"> </w:t>
      </w:r>
      <w:r w:rsidRPr="00CE6B92">
        <w:rPr>
          <w:rFonts w:ascii="Aptos" w:eastAsia="Aptos" w:hAnsi="Aptos" w:cs="Aptos"/>
          <w:szCs w:val="28"/>
          <w:lang w:val="en-GB" w:eastAsia="zh-CN" w:bidi="th-TH"/>
        </w:rPr>
        <w:t xml:space="preserve"> </w:t>
      </w:r>
    </w:p>
    <w:p w14:paraId="6165713A" w14:textId="2C907864"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van der Staak S and Wolf P (2019) </w:t>
      </w:r>
      <w:hyperlink r:id="rId149">
        <w:r w:rsidRPr="00D97979">
          <w:rPr>
            <w:rStyle w:val="Hyperlink"/>
            <w:i/>
            <w:iCs/>
          </w:rPr>
          <w:t>Cybersecurity in elections: Models of interagency collaboration</w:t>
        </w:r>
      </w:hyperlink>
      <w:r w:rsidR="00C723DC">
        <w:rPr>
          <w:rFonts w:ascii="Aptos" w:eastAsia="Aptos" w:hAnsi="Aptos" w:cs="Aptos"/>
          <w:szCs w:val="28"/>
          <w:lang w:val="en-GB" w:eastAsia="zh-CN" w:bidi="th-TH"/>
        </w:rPr>
        <w:t xml:space="preserve"> [PDF],</w:t>
      </w:r>
      <w:r w:rsidRPr="00CE6B92">
        <w:rPr>
          <w:rFonts w:ascii="Aptos" w:eastAsia="Aptos" w:hAnsi="Aptos" w:cs="Aptos"/>
          <w:i/>
          <w:iCs/>
          <w:szCs w:val="28"/>
          <w:lang w:val="en-GB" w:eastAsia="zh-CN" w:bidi="th-TH"/>
        </w:rPr>
        <w:t xml:space="preserve"> </w:t>
      </w:r>
      <w:r w:rsidRPr="00CE6B92">
        <w:rPr>
          <w:rFonts w:ascii="Aptos" w:eastAsia="Aptos" w:hAnsi="Aptos" w:cs="Aptos"/>
          <w:szCs w:val="28"/>
          <w:lang w:val="en-GB" w:eastAsia="zh-CN" w:bidi="th-TH"/>
        </w:rPr>
        <w:t xml:space="preserve">International Institute for Democracy and Electoral Assistance, Stockholm. </w:t>
      </w:r>
    </w:p>
    <w:p w14:paraId="0BB5BB94" w14:textId="53B9BE76" w:rsidR="00CE6B92" w:rsidRPr="00CE6B92" w:rsidRDefault="00CE6B92" w:rsidP="005D7D39">
      <w:pPr>
        <w:shd w:val="clear" w:color="auto" w:fill="FFFFFF"/>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van Kooy J (2022) </w:t>
      </w:r>
      <w:hyperlink r:id="rId150">
        <w:r w:rsidRPr="00401A19">
          <w:rPr>
            <w:rStyle w:val="Hyperlink"/>
            <w:i/>
            <w:iCs/>
          </w:rPr>
          <w:t>Social cohesion insights 04: On belonging</w:t>
        </w:r>
      </w:hyperlink>
      <w:r w:rsidR="00401A19">
        <w:rPr>
          <w:rFonts w:ascii="Aptos" w:eastAsia="Aptos" w:hAnsi="Aptos" w:cs="Aptos"/>
          <w:szCs w:val="28"/>
          <w:lang w:val="en-GB" w:eastAsia="zh-CN" w:bidi="th-TH"/>
        </w:rPr>
        <w:t>,</w:t>
      </w:r>
      <w:r w:rsidRPr="00CE6B92">
        <w:rPr>
          <w:rFonts w:ascii="Aptos" w:eastAsia="Aptos" w:hAnsi="Aptos" w:cs="Aptos"/>
          <w:szCs w:val="28"/>
          <w:lang w:val="en-GB" w:eastAsia="zh-CN" w:bidi="th-TH"/>
        </w:rPr>
        <w:t xml:space="preserve"> Scanlon Foundation, accessed 18 February 2025.</w:t>
      </w:r>
    </w:p>
    <w:p w14:paraId="55E9D9C2" w14:textId="4EAF2736"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van </w:t>
      </w:r>
      <w:proofErr w:type="spellStart"/>
      <w:r w:rsidRPr="00CE6B92">
        <w:rPr>
          <w:rFonts w:ascii="Aptos" w:eastAsia="Aptos" w:hAnsi="Aptos" w:cs="Aptos"/>
          <w:szCs w:val="28"/>
          <w:lang w:val="en-GB" w:eastAsia="zh-CN" w:bidi="th-TH"/>
        </w:rPr>
        <w:t>Prooijen</w:t>
      </w:r>
      <w:proofErr w:type="spellEnd"/>
      <w:r w:rsidRPr="00CE6B92">
        <w:rPr>
          <w:rFonts w:ascii="Aptos" w:eastAsia="Aptos" w:hAnsi="Aptos" w:cs="Aptos"/>
          <w:szCs w:val="28"/>
          <w:lang w:val="en-GB" w:eastAsia="zh-CN" w:bidi="th-TH"/>
        </w:rPr>
        <w:t xml:space="preserve"> JW and van </w:t>
      </w:r>
      <w:proofErr w:type="spellStart"/>
      <w:r w:rsidRPr="00CE6B92">
        <w:rPr>
          <w:rFonts w:ascii="Aptos" w:eastAsia="Aptos" w:hAnsi="Aptos" w:cs="Aptos"/>
          <w:szCs w:val="28"/>
          <w:lang w:val="en-GB" w:eastAsia="zh-CN" w:bidi="th-TH"/>
        </w:rPr>
        <w:t>Vugt</w:t>
      </w:r>
      <w:proofErr w:type="spellEnd"/>
      <w:r w:rsidRPr="00CE6B92">
        <w:rPr>
          <w:rFonts w:ascii="Aptos" w:eastAsia="Aptos" w:hAnsi="Aptos" w:cs="Aptos"/>
          <w:szCs w:val="28"/>
          <w:lang w:val="en-GB" w:eastAsia="zh-CN" w:bidi="th-TH"/>
        </w:rPr>
        <w:t xml:space="preserve"> M (2018) ‘Conspiracy theories: Evolved functions and psychological mechanisms’, </w:t>
      </w:r>
      <w:r w:rsidRPr="00CE6B92">
        <w:rPr>
          <w:rFonts w:ascii="Aptos" w:eastAsia="Aptos" w:hAnsi="Aptos" w:cs="Aptos"/>
          <w:i/>
          <w:iCs/>
          <w:szCs w:val="28"/>
          <w:lang w:val="en-GB" w:eastAsia="zh-CN" w:bidi="th-TH"/>
        </w:rPr>
        <w:t>Perspectives on Psychological Science</w:t>
      </w:r>
      <w:r w:rsidRPr="00CE6B92">
        <w:rPr>
          <w:rFonts w:ascii="Aptos" w:eastAsia="Aptos" w:hAnsi="Aptos" w:cs="Aptos"/>
          <w:szCs w:val="28"/>
          <w:lang w:val="en-GB" w:eastAsia="zh-CN" w:bidi="th-TH"/>
        </w:rPr>
        <w:t xml:space="preserve">, 13(6):770–788, </w:t>
      </w:r>
      <w:hyperlink r:id="rId151" w:history="1">
        <w:r w:rsidR="00104CBE" w:rsidRPr="00FB763F">
          <w:rPr>
            <w:rStyle w:val="Hyperlink"/>
          </w:rPr>
          <w:t>https://doi.org/10.1177/1745691618774270</w:t>
        </w:r>
      </w:hyperlink>
      <w:r w:rsidR="00104CBE" w:rsidRPr="00104CBE">
        <w:rPr>
          <w:rFonts w:ascii="Aptos" w:eastAsia="Aptos" w:hAnsi="Aptos" w:cs="Aptos"/>
          <w:szCs w:val="28"/>
          <w:lang w:val="en-GB" w:eastAsia="zh-CN" w:bidi="th-TH"/>
        </w:rPr>
        <w:t>.</w:t>
      </w:r>
      <w:r w:rsidR="00104CBE">
        <w:rPr>
          <w:rFonts w:ascii="Aptos" w:eastAsia="Aptos" w:hAnsi="Aptos" w:cs="Aptos"/>
          <w:szCs w:val="28"/>
          <w:u w:val="single"/>
          <w:lang w:val="en-GB" w:eastAsia="zh-CN" w:bidi="th-TH"/>
        </w:rPr>
        <w:t xml:space="preserve"> </w:t>
      </w:r>
      <w:r w:rsidRPr="00CE6B92">
        <w:rPr>
          <w:rFonts w:ascii="Aptos" w:eastAsia="Aptos" w:hAnsi="Aptos" w:cs="Aptos"/>
          <w:szCs w:val="28"/>
          <w:lang w:val="en-GB" w:eastAsia="zh-CN" w:bidi="th-TH"/>
        </w:rPr>
        <w:t xml:space="preserve"> </w:t>
      </w:r>
    </w:p>
    <w:p w14:paraId="0753BBC6" w14:textId="3AE3E973"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Vivian A, Fielding K and Rossi S (2024) </w:t>
      </w:r>
      <w:hyperlink r:id="rId152">
        <w:r w:rsidRPr="00117867">
          <w:rPr>
            <w:rStyle w:val="Hyperlink"/>
            <w:i/>
            <w:iCs/>
          </w:rPr>
          <w:t>Transformative edge 2024: How arts, culture and creativity impact our prosperity, cohesion, security, health and sustainability</w:t>
        </w:r>
      </w:hyperlink>
      <w:r w:rsidRPr="00CE6B92">
        <w:rPr>
          <w:rFonts w:ascii="Aptos" w:eastAsia="Aptos" w:hAnsi="Aptos" w:cs="Aptos"/>
          <w:szCs w:val="28"/>
          <w:lang w:val="en-GB" w:eastAsia="zh-CN" w:bidi="th-TH"/>
        </w:rPr>
        <w:t xml:space="preserve">, </w:t>
      </w:r>
      <w:r w:rsidR="00117867">
        <w:rPr>
          <w:rFonts w:ascii="Aptos" w:eastAsia="Aptos" w:hAnsi="Aptos" w:cs="Aptos"/>
          <w:szCs w:val="28"/>
          <w:lang w:val="en-GB" w:eastAsia="zh-CN" w:bidi="th-TH"/>
        </w:rPr>
        <w:t xml:space="preserve">Insight Report no. 2024-03, </w:t>
      </w:r>
      <w:r w:rsidRPr="00CE6B92">
        <w:rPr>
          <w:rFonts w:ascii="Aptos" w:eastAsia="Aptos" w:hAnsi="Aptos" w:cs="Aptos"/>
          <w:szCs w:val="28"/>
          <w:lang w:val="en-GB" w:eastAsia="zh-CN" w:bidi="th-TH"/>
        </w:rPr>
        <w:t xml:space="preserve">A New Approach, Canberra. </w:t>
      </w:r>
    </w:p>
    <w:p w14:paraId="32575BAB" w14:textId="09B32282"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Wall M, Otis Campbell M and </w:t>
      </w:r>
      <w:proofErr w:type="spellStart"/>
      <w:r w:rsidRPr="00CE6B92">
        <w:rPr>
          <w:rFonts w:ascii="Aptos" w:eastAsia="Aptos" w:hAnsi="Aptos" w:cs="Aptos"/>
          <w:szCs w:val="28"/>
          <w:lang w:val="en-GB" w:eastAsia="zh-CN" w:bidi="th-TH"/>
        </w:rPr>
        <w:t>Janbek</w:t>
      </w:r>
      <w:proofErr w:type="spellEnd"/>
      <w:r w:rsidRPr="00CE6B92">
        <w:rPr>
          <w:rFonts w:ascii="Aptos" w:eastAsia="Aptos" w:hAnsi="Aptos" w:cs="Aptos"/>
          <w:szCs w:val="28"/>
          <w:lang w:val="en-GB" w:eastAsia="zh-CN" w:bidi="th-TH"/>
        </w:rPr>
        <w:t xml:space="preserve"> D (2017) ‘Syrian refugees and information precarity’, </w:t>
      </w:r>
      <w:r w:rsidRPr="00CE6B92">
        <w:rPr>
          <w:rFonts w:ascii="Aptos" w:eastAsia="Aptos" w:hAnsi="Aptos" w:cs="Aptos"/>
          <w:i/>
          <w:iCs/>
          <w:szCs w:val="28"/>
          <w:lang w:val="en-GB" w:eastAsia="zh-CN" w:bidi="th-TH"/>
        </w:rPr>
        <w:t xml:space="preserve">New Media and Society, </w:t>
      </w:r>
      <w:r w:rsidRPr="00CE6B92">
        <w:rPr>
          <w:rFonts w:ascii="Aptos" w:eastAsia="Aptos" w:hAnsi="Aptos" w:cs="Aptos"/>
          <w:szCs w:val="28"/>
          <w:lang w:val="en-GB" w:eastAsia="zh-CN" w:bidi="th-TH"/>
        </w:rPr>
        <w:t>19(2),</w:t>
      </w:r>
      <w:hyperlink r:id="rId153"/>
      <w:r w:rsidR="00834EFD">
        <w:t xml:space="preserve"> </w:t>
      </w:r>
      <w:hyperlink r:id="rId154" w:history="1">
        <w:r w:rsidR="00862216" w:rsidRPr="00FB763F">
          <w:rPr>
            <w:rStyle w:val="Hyperlink"/>
          </w:rPr>
          <w:t>https://doi.org/10.1177/1461444815591967</w:t>
        </w:r>
      </w:hyperlink>
      <w:r w:rsidRPr="00CE6B92">
        <w:rPr>
          <w:rFonts w:ascii="Aptos" w:eastAsia="Aptos" w:hAnsi="Aptos" w:cs="Aptos"/>
          <w:szCs w:val="28"/>
          <w:lang w:val="en-GB" w:eastAsia="zh-CN" w:bidi="th-TH"/>
        </w:rPr>
        <w:t>.</w:t>
      </w:r>
      <w:r w:rsidR="00862216">
        <w:rPr>
          <w:rFonts w:ascii="Aptos" w:eastAsia="Aptos" w:hAnsi="Aptos" w:cs="Aptos"/>
          <w:szCs w:val="28"/>
          <w:lang w:val="en-GB" w:eastAsia="zh-CN" w:bidi="th-TH"/>
        </w:rPr>
        <w:t xml:space="preserve"> </w:t>
      </w:r>
      <w:r w:rsidRPr="00CE6B92">
        <w:rPr>
          <w:rFonts w:ascii="Aptos" w:eastAsia="Aptos" w:hAnsi="Aptos" w:cs="Aptos"/>
          <w:szCs w:val="28"/>
          <w:lang w:val="en-GB" w:eastAsia="zh-CN" w:bidi="th-TH"/>
        </w:rPr>
        <w:t xml:space="preserve"> </w:t>
      </w:r>
    </w:p>
    <w:p w14:paraId="5C648690" w14:textId="74AC513B"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Wang C, Platow MJ and Newman EJ (2023) ‘There is an ‘I’ in truth: How salient identities shape dynamic perceptions of truth’, </w:t>
      </w:r>
      <w:r w:rsidRPr="00CE6B92">
        <w:rPr>
          <w:rFonts w:ascii="Aptos" w:eastAsia="Aptos" w:hAnsi="Aptos" w:cs="Aptos"/>
          <w:i/>
          <w:iCs/>
          <w:szCs w:val="28"/>
          <w:lang w:val="en-GB" w:eastAsia="zh-CN" w:bidi="th-TH"/>
        </w:rPr>
        <w:t>European Journal of Social Psychology</w:t>
      </w:r>
      <w:r w:rsidRPr="00CE6B92">
        <w:rPr>
          <w:rFonts w:ascii="Aptos" w:eastAsia="Aptos" w:hAnsi="Aptos" w:cs="Aptos"/>
          <w:szCs w:val="28"/>
          <w:lang w:val="en-GB" w:eastAsia="zh-CN" w:bidi="th-TH"/>
        </w:rPr>
        <w:t xml:space="preserve">, 53(2):383–400, </w:t>
      </w:r>
      <w:hyperlink r:id="rId155" w:history="1">
        <w:r w:rsidR="00862216" w:rsidRPr="00FB763F">
          <w:rPr>
            <w:rStyle w:val="Hyperlink"/>
          </w:rPr>
          <w:t>https://doi.org/10.1002/ejsp.2909</w:t>
        </w:r>
      </w:hyperlink>
      <w:r w:rsidRPr="00CE6B92">
        <w:rPr>
          <w:rFonts w:ascii="Aptos" w:eastAsia="Aptos" w:hAnsi="Aptos" w:cs="Aptos"/>
          <w:szCs w:val="28"/>
          <w:lang w:val="en-GB" w:eastAsia="zh-CN" w:bidi="th-TH"/>
        </w:rPr>
        <w:t>.</w:t>
      </w:r>
      <w:r w:rsidR="00862216">
        <w:rPr>
          <w:rFonts w:ascii="Aptos" w:eastAsia="Aptos" w:hAnsi="Aptos" w:cs="Aptos"/>
          <w:szCs w:val="28"/>
          <w:lang w:val="en-GB" w:eastAsia="zh-CN" w:bidi="th-TH"/>
        </w:rPr>
        <w:t xml:space="preserve"> </w:t>
      </w:r>
      <w:r w:rsidRPr="00CE6B92">
        <w:rPr>
          <w:rFonts w:ascii="Aptos" w:eastAsia="Aptos" w:hAnsi="Aptos" w:cs="Aptos"/>
          <w:szCs w:val="28"/>
          <w:lang w:val="en-GB" w:eastAsia="zh-CN" w:bidi="th-TH"/>
        </w:rPr>
        <w:t xml:space="preserve"> </w:t>
      </w:r>
    </w:p>
    <w:p w14:paraId="178B1B2E" w14:textId="334EC301" w:rsidR="00CE6B92" w:rsidRPr="00CE6B92" w:rsidRDefault="00CE6B92" w:rsidP="005D7D39">
      <w:pPr>
        <w:shd w:val="clear" w:color="auto" w:fill="FFFFFF"/>
        <w:rPr>
          <w:rFonts w:ascii="Aptos" w:eastAsia="Aptos" w:hAnsi="Aptos" w:cs="Aptos"/>
          <w:szCs w:val="28"/>
          <w:lang w:val="en-GB" w:eastAsia="zh-CN" w:bidi="th-TH"/>
        </w:rPr>
      </w:pPr>
      <w:r w:rsidRPr="00834EFD">
        <w:rPr>
          <w:rFonts w:ascii="Aptos" w:eastAsia="Aptos" w:hAnsi="Aptos" w:cs="Aptos"/>
          <w:szCs w:val="28"/>
          <w:lang w:val="en-GB" w:eastAsia="zh-CN" w:bidi="th-TH"/>
        </w:rPr>
        <w:t>Williams M (13 June 2021)</w:t>
      </w:r>
      <w:r w:rsidRPr="00CE6B92">
        <w:rPr>
          <w:rFonts w:ascii="Aptos" w:eastAsia="Aptos" w:hAnsi="Aptos" w:cs="Aptos"/>
          <w:szCs w:val="28"/>
          <w:lang w:val="en-GB" w:eastAsia="zh-CN" w:bidi="th-TH"/>
        </w:rPr>
        <w:t xml:space="preserve"> ‘</w:t>
      </w:r>
      <w:hyperlink r:id="rId156" w:history="1">
        <w:r w:rsidRPr="002D175C">
          <w:rPr>
            <w:rStyle w:val="Hyperlink"/>
            <w:rFonts w:ascii="Aptos" w:eastAsia="Aptos" w:hAnsi="Aptos" w:cs="Aptos"/>
            <w:szCs w:val="28"/>
            <w:lang w:val="en-GB" w:eastAsia="zh-CN" w:bidi="th-TH"/>
          </w:rPr>
          <w:t>Footprints ‘take action’ on inequality’</w:t>
        </w:r>
      </w:hyperlink>
      <w:r w:rsidRPr="00CE6B92">
        <w:rPr>
          <w:rFonts w:ascii="Aptos" w:eastAsia="Aptos" w:hAnsi="Aptos" w:cs="Aptos"/>
          <w:szCs w:val="28"/>
          <w:lang w:val="en-GB" w:eastAsia="zh-CN" w:bidi="th-TH"/>
        </w:rPr>
        <w:t xml:space="preserve">, </w:t>
      </w:r>
      <w:r w:rsidRPr="006445F1">
        <w:rPr>
          <w:rFonts w:ascii="Aptos" w:eastAsia="Aptos" w:hAnsi="Aptos" w:cs="Aptos"/>
          <w:i/>
          <w:iCs/>
          <w:szCs w:val="28"/>
          <w:lang w:val="en-GB" w:eastAsia="zh-CN" w:bidi="th-TH"/>
        </w:rPr>
        <w:t xml:space="preserve">The </w:t>
      </w:r>
      <w:proofErr w:type="spellStart"/>
      <w:r w:rsidRPr="006445F1">
        <w:rPr>
          <w:rFonts w:ascii="Aptos" w:eastAsia="Aptos" w:hAnsi="Aptos" w:cs="Aptos"/>
          <w:i/>
          <w:iCs/>
          <w:szCs w:val="28"/>
          <w:lang w:val="en-GB" w:eastAsia="zh-CN" w:bidi="th-TH"/>
        </w:rPr>
        <w:t>Longreach</w:t>
      </w:r>
      <w:proofErr w:type="spellEnd"/>
      <w:r w:rsidRPr="006445F1">
        <w:rPr>
          <w:rFonts w:ascii="Aptos" w:eastAsia="Aptos" w:hAnsi="Aptos" w:cs="Aptos"/>
          <w:i/>
          <w:iCs/>
          <w:szCs w:val="28"/>
          <w:lang w:val="en-GB" w:eastAsia="zh-CN" w:bidi="th-TH"/>
        </w:rPr>
        <w:t xml:space="preserve"> Leader</w:t>
      </w:r>
      <w:r w:rsidRPr="00CE6B92">
        <w:rPr>
          <w:rFonts w:ascii="Aptos" w:eastAsia="Aptos" w:hAnsi="Aptos" w:cs="Aptos"/>
          <w:szCs w:val="28"/>
          <w:lang w:val="en-GB" w:eastAsia="zh-CN" w:bidi="th-TH"/>
        </w:rPr>
        <w:t>, accessed 21 February 2025.</w:t>
      </w:r>
    </w:p>
    <w:p w14:paraId="4E9E7785" w14:textId="77777777"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Woodward K (ed) (1997) </w:t>
      </w:r>
      <w:r w:rsidRPr="00CE6B92">
        <w:rPr>
          <w:rFonts w:ascii="Aptos" w:eastAsia="Aptos" w:hAnsi="Aptos" w:cs="Aptos"/>
          <w:i/>
          <w:iCs/>
          <w:szCs w:val="28"/>
          <w:lang w:val="en-GB" w:eastAsia="zh-CN" w:bidi="th-TH"/>
        </w:rPr>
        <w:t>Identity and difference</w:t>
      </w:r>
      <w:r w:rsidRPr="00CE6B92">
        <w:rPr>
          <w:rFonts w:ascii="Aptos" w:eastAsia="Aptos" w:hAnsi="Aptos" w:cs="Aptos"/>
          <w:szCs w:val="28"/>
          <w:lang w:val="en-GB" w:eastAsia="zh-CN" w:bidi="th-TH"/>
        </w:rPr>
        <w:t xml:space="preserve">, Sage Publications, London. </w:t>
      </w:r>
    </w:p>
    <w:p w14:paraId="305C11EB" w14:textId="706CA3C9" w:rsidR="00CE6B92" w:rsidRPr="00CE6B92" w:rsidRDefault="00CE6B92" w:rsidP="005D7D39">
      <w:pPr>
        <w:rPr>
          <w:rFonts w:ascii="Aptos" w:eastAsia="Aptos" w:hAnsi="Aptos" w:cs="Aptos"/>
          <w:szCs w:val="28"/>
          <w:lang w:val="en-GB" w:eastAsia="zh-CN" w:bidi="th-TH"/>
        </w:rPr>
      </w:pPr>
      <w:r w:rsidRPr="00CE6B92">
        <w:rPr>
          <w:rFonts w:ascii="Aptos" w:eastAsia="Aptos" w:hAnsi="Aptos" w:cs="Aptos"/>
          <w:szCs w:val="28"/>
          <w:lang w:val="en-GB" w:eastAsia="zh-CN" w:bidi="th-TH"/>
        </w:rPr>
        <w:t xml:space="preserve">Yang F and Sukhmani K (2024) </w:t>
      </w:r>
      <w:r w:rsidRPr="00167F1B">
        <w:rPr>
          <w:rFonts w:ascii="Aptos" w:eastAsia="Aptos" w:hAnsi="Aptos" w:cs="Aptos"/>
          <w:i/>
          <w:iCs/>
          <w:szCs w:val="28"/>
          <w:lang w:val="en-GB" w:eastAsia="zh-CN" w:bidi="th-TH"/>
        </w:rPr>
        <w:t>Submission to the inquiry into civics education, engagement and participation in Australia</w:t>
      </w:r>
      <w:r w:rsidRPr="00CE6B92">
        <w:rPr>
          <w:rFonts w:ascii="Aptos" w:eastAsia="Aptos" w:hAnsi="Aptos" w:cs="Aptos"/>
          <w:szCs w:val="28"/>
          <w:lang w:val="en-GB" w:eastAsia="zh-CN" w:bidi="th-TH"/>
        </w:rPr>
        <w:t xml:space="preserve">, ARC Centre of Excellence for Automated Decision-Making and Society and University of New South Wales, </w:t>
      </w:r>
      <w:hyperlink r:id="rId157" w:history="1">
        <w:r w:rsidR="00EB7356" w:rsidRPr="00FB763F">
          <w:rPr>
            <w:rStyle w:val="Hyperlink"/>
            <w:rFonts w:ascii="Aptos" w:eastAsia="Aptos" w:hAnsi="Aptos" w:cs="Aptos"/>
            <w:szCs w:val="28"/>
            <w:lang w:val="en-GB" w:eastAsia="zh-CN" w:bidi="th-TH"/>
          </w:rPr>
          <w:t>https://doi.org/10.60836/rqth-tc20</w:t>
        </w:r>
      </w:hyperlink>
      <w:r w:rsidR="00EB7356">
        <w:rPr>
          <w:rFonts w:ascii="Aptos" w:eastAsia="Aptos" w:hAnsi="Aptos" w:cs="Aptos"/>
          <w:szCs w:val="28"/>
          <w:lang w:val="en-GB" w:eastAsia="zh-CN" w:bidi="th-TH"/>
        </w:rPr>
        <w:t>.</w:t>
      </w:r>
      <w:r w:rsidR="00062FAF">
        <w:rPr>
          <w:rFonts w:ascii="Aptos" w:eastAsia="Aptos" w:hAnsi="Aptos" w:cs="Aptos"/>
          <w:szCs w:val="28"/>
          <w:lang w:val="en-GB" w:eastAsia="zh-CN" w:bidi="th-TH"/>
        </w:rPr>
        <w:t xml:space="preserve"> </w:t>
      </w:r>
    </w:p>
    <w:p w14:paraId="57282DBA" w14:textId="77777777" w:rsidR="00CE6B92" w:rsidRDefault="00CE6B92" w:rsidP="00CE6B92">
      <w:pPr>
        <w:spacing w:after="0" w:line="276" w:lineRule="auto"/>
        <w:rPr>
          <w:rFonts w:ascii="Arial" w:eastAsia="Arial" w:hAnsi="Arial" w:cs="Arial"/>
          <w:lang w:val="en-GB" w:eastAsia="zh-CN" w:bidi="th-TH"/>
        </w:rPr>
      </w:pPr>
    </w:p>
    <w:p w14:paraId="5CC37D29" w14:textId="77777777" w:rsidR="00E73B20" w:rsidRPr="00CE6B92" w:rsidRDefault="00E73B20" w:rsidP="00CE6B92">
      <w:pPr>
        <w:spacing w:after="0" w:line="276" w:lineRule="auto"/>
        <w:rPr>
          <w:rFonts w:ascii="Arial" w:eastAsia="Arial" w:hAnsi="Arial" w:cs="Arial"/>
          <w:lang w:val="en-GB" w:eastAsia="zh-CN" w:bidi="th-TH"/>
        </w:rPr>
      </w:pPr>
    </w:p>
    <w:p w14:paraId="3B6F0BBE" w14:textId="7AF7AD6D" w:rsidR="000F1876" w:rsidRDefault="000F1876">
      <w:pPr>
        <w:rPr>
          <w:rFonts w:ascii="Aptos" w:eastAsia="Aptos" w:hAnsi="Aptos" w:cs="Aptos"/>
          <w:highlight w:val="white"/>
          <w:lang w:val="en-GB" w:eastAsia="zh-CN" w:bidi="th-TH"/>
        </w:rPr>
      </w:pPr>
      <w:r>
        <w:rPr>
          <w:rFonts w:ascii="Aptos" w:eastAsia="Aptos" w:hAnsi="Aptos" w:cs="Aptos"/>
          <w:highlight w:val="white"/>
          <w:lang w:val="en-GB" w:eastAsia="zh-CN" w:bidi="th-TH"/>
        </w:rPr>
        <w:br w:type="page"/>
      </w:r>
    </w:p>
    <w:p w14:paraId="48708DEE" w14:textId="62C2B8F5" w:rsidR="000F1876" w:rsidRDefault="00B376A0" w:rsidP="00823367">
      <w:pPr>
        <w:pStyle w:val="Heading2"/>
        <w:rPr>
          <w:highlight w:val="white"/>
          <w:lang w:val="en-GB" w:eastAsia="zh-CN" w:bidi="th-TH"/>
        </w:rPr>
      </w:pPr>
      <w:bookmarkStart w:id="47" w:name="_Toc218517324"/>
      <w:r>
        <w:rPr>
          <w:highlight w:val="white"/>
        </w:rPr>
        <w:lastRenderedPageBreak/>
        <w:t xml:space="preserve">Appendix A: </w:t>
      </w:r>
      <w:r w:rsidR="000F1876" w:rsidRPr="00823367">
        <w:rPr>
          <w:highlight w:val="white"/>
        </w:rPr>
        <w:t>Acknowledgements</w:t>
      </w:r>
      <w:bookmarkEnd w:id="47"/>
      <w:r w:rsidR="000F1876" w:rsidRPr="00CE6B92">
        <w:rPr>
          <w:highlight w:val="white"/>
          <w:lang w:val="en-GB" w:eastAsia="zh-CN" w:bidi="th-TH"/>
        </w:rPr>
        <w:t xml:space="preserve"> </w:t>
      </w:r>
    </w:p>
    <w:p w14:paraId="2101AC4B" w14:textId="441E972A" w:rsidR="000F1876" w:rsidRPr="00CE6B92" w:rsidRDefault="000F1876" w:rsidP="000F1876">
      <w:pPr>
        <w:rPr>
          <w:highlight w:val="white"/>
          <w:lang w:val="en-GB" w:eastAsia="zh-CN" w:bidi="th-TH"/>
        </w:rPr>
      </w:pPr>
      <w:r w:rsidRPr="00CE6B92">
        <w:rPr>
          <w:highlight w:val="white"/>
        </w:rPr>
        <w:t xml:space="preserve">This report was developed with guidance from </w:t>
      </w:r>
      <w:r w:rsidR="001404FB" w:rsidRPr="00CE6B92">
        <w:rPr>
          <w:highlight w:val="white"/>
        </w:rPr>
        <w:t xml:space="preserve">an expert working group of leading </w:t>
      </w:r>
      <w:r w:rsidRPr="00CE6B92">
        <w:rPr>
          <w:highlight w:val="white"/>
        </w:rPr>
        <w:t>scholars and</w:t>
      </w:r>
      <w:r w:rsidRPr="00CE6B92">
        <w:rPr>
          <w:highlight w:val="white"/>
          <w:lang w:val="en-GB" w:eastAsia="zh-CN" w:bidi="th-TH"/>
        </w:rPr>
        <w:t xml:space="preserve"> representatives from the peak bodies for Australian cultural institutions. The Academy of the Social Sciences in Australia gratefully </w:t>
      </w:r>
      <w:r w:rsidR="001404FB" w:rsidRPr="00CE6B92">
        <w:rPr>
          <w:highlight w:val="white"/>
          <w:lang w:val="en-GB" w:eastAsia="zh-CN" w:bidi="th-TH"/>
        </w:rPr>
        <w:t xml:space="preserve">acknowledges the expert working group for their </w:t>
      </w:r>
      <w:r w:rsidRPr="00CE6B92">
        <w:rPr>
          <w:highlight w:val="white"/>
          <w:lang w:val="en-GB" w:eastAsia="zh-CN" w:bidi="th-TH"/>
        </w:rPr>
        <w:t>contributions.</w:t>
      </w:r>
    </w:p>
    <w:p w14:paraId="583B8200" w14:textId="6D0E9218" w:rsidR="000F1876" w:rsidRPr="00CE6B92" w:rsidRDefault="001404FB" w:rsidP="00823367">
      <w:pPr>
        <w:pStyle w:val="Heading3"/>
        <w:rPr>
          <w:highlight w:val="white"/>
          <w:lang w:val="en-GB" w:eastAsia="zh-CN" w:bidi="th-TH"/>
        </w:rPr>
      </w:pPr>
      <w:bookmarkStart w:id="48" w:name="_Toc218512195"/>
      <w:bookmarkStart w:id="49" w:name="_Toc218517325"/>
      <w:r w:rsidRPr="00CE6B92">
        <w:rPr>
          <w:highlight w:val="white"/>
          <w:lang w:val="en-GB" w:eastAsia="zh-CN" w:bidi="th-TH"/>
        </w:rPr>
        <w:t>Expert working group members</w:t>
      </w:r>
      <w:bookmarkEnd w:id="48"/>
      <w:bookmarkEnd w:id="49"/>
      <w:r w:rsidRPr="00CE6B92">
        <w:rPr>
          <w:highlight w:val="white"/>
          <w:lang w:val="en-GB" w:eastAsia="zh-CN" w:bidi="th-TH"/>
        </w:rPr>
        <w:t xml:space="preserve"> </w:t>
      </w:r>
    </w:p>
    <w:p w14:paraId="7DF72226" w14:textId="77777777" w:rsidR="000F1876" w:rsidRPr="00CE6B92" w:rsidRDefault="000F1876" w:rsidP="001404FB">
      <w:pPr>
        <w:pStyle w:val="ListParagraph"/>
        <w:rPr>
          <w:highlight w:val="white"/>
          <w:lang w:eastAsia="zh-CN" w:bidi="th-TH"/>
        </w:rPr>
      </w:pPr>
      <w:r w:rsidRPr="00CE6B92">
        <w:rPr>
          <w:highlight w:val="white"/>
          <w:lang w:eastAsia="zh-CN" w:bidi="th-TH"/>
        </w:rPr>
        <w:t xml:space="preserve">Professor Michelle Arrow FASSA </w:t>
      </w:r>
    </w:p>
    <w:p w14:paraId="0CE5F814" w14:textId="77777777" w:rsidR="000F1876" w:rsidRPr="00CE6B92" w:rsidRDefault="000F1876" w:rsidP="001404FB">
      <w:pPr>
        <w:pStyle w:val="ListParagraph"/>
        <w:rPr>
          <w:highlight w:val="white"/>
          <w:lang w:eastAsia="zh-CN" w:bidi="th-TH"/>
        </w:rPr>
      </w:pPr>
      <w:r w:rsidRPr="00CE6B92">
        <w:rPr>
          <w:highlight w:val="white"/>
          <w:lang w:eastAsia="zh-CN" w:bidi="th-TH"/>
        </w:rPr>
        <w:t>Professor Bronwyn Carlson FAHA</w:t>
      </w:r>
    </w:p>
    <w:p w14:paraId="6D6ADCDF" w14:textId="77777777" w:rsidR="000F1876" w:rsidRPr="00CE6B92" w:rsidRDefault="000F1876" w:rsidP="001404FB">
      <w:pPr>
        <w:pStyle w:val="ListParagraph"/>
        <w:rPr>
          <w:highlight w:val="white"/>
          <w:lang w:eastAsia="zh-CN" w:bidi="th-TH"/>
        </w:rPr>
      </w:pPr>
      <w:r w:rsidRPr="00CE6B92">
        <w:rPr>
          <w:highlight w:val="white"/>
          <w:lang w:eastAsia="zh-CN" w:bidi="th-TH"/>
        </w:rPr>
        <w:t>Mr Seb Chan</w:t>
      </w:r>
    </w:p>
    <w:p w14:paraId="37A84D66" w14:textId="77777777" w:rsidR="000F1876" w:rsidRPr="00CE6B92" w:rsidRDefault="000F1876" w:rsidP="001404FB">
      <w:pPr>
        <w:pStyle w:val="ListParagraph"/>
        <w:rPr>
          <w:highlight w:val="white"/>
          <w:lang w:val="en-GB" w:eastAsia="zh-CN" w:bidi="th-TH"/>
        </w:rPr>
      </w:pPr>
      <w:r w:rsidRPr="00CE6B92">
        <w:rPr>
          <w:highlight w:val="white"/>
          <w:lang w:eastAsia="zh-CN" w:bidi="th-TH"/>
        </w:rPr>
        <w:t>Professor Kate Darian-Smith FASSA (Co-Chair)</w:t>
      </w:r>
    </w:p>
    <w:p w14:paraId="4EAE1B98" w14:textId="77777777" w:rsidR="000F1876" w:rsidRPr="00CE6B92" w:rsidRDefault="000F1876" w:rsidP="001404FB">
      <w:pPr>
        <w:pStyle w:val="ListParagraph"/>
        <w:rPr>
          <w:highlight w:val="white"/>
          <w:lang w:eastAsia="zh-CN" w:bidi="th-TH"/>
        </w:rPr>
      </w:pPr>
      <w:r w:rsidRPr="00CE6B92">
        <w:rPr>
          <w:highlight w:val="white"/>
          <w:lang w:eastAsia="zh-CN" w:bidi="th-TH"/>
        </w:rPr>
        <w:t>Professor Penny Edmonds FASSA</w:t>
      </w:r>
    </w:p>
    <w:p w14:paraId="08657262" w14:textId="77777777" w:rsidR="000F1876" w:rsidRPr="00CE6B92" w:rsidRDefault="000F1876" w:rsidP="001404FB">
      <w:pPr>
        <w:pStyle w:val="ListParagraph"/>
        <w:rPr>
          <w:highlight w:val="white"/>
          <w:lang w:eastAsia="zh-CN" w:bidi="th-TH"/>
        </w:rPr>
      </w:pPr>
      <w:r w:rsidRPr="00CE6B92">
        <w:rPr>
          <w:highlight w:val="white"/>
          <w:lang w:eastAsia="zh-CN" w:bidi="th-TH"/>
        </w:rPr>
        <w:t>Professor Lisa Given FASSA</w:t>
      </w:r>
    </w:p>
    <w:p w14:paraId="36E1DD1D" w14:textId="77777777" w:rsidR="000F1876" w:rsidRPr="00CE6B92" w:rsidRDefault="000F1876" w:rsidP="001404FB">
      <w:pPr>
        <w:pStyle w:val="ListParagraph"/>
        <w:rPr>
          <w:highlight w:val="white"/>
          <w:lang w:eastAsia="zh-CN" w:bidi="th-TH"/>
        </w:rPr>
      </w:pPr>
      <w:r w:rsidRPr="00CE6B92">
        <w:rPr>
          <w:highlight w:val="white"/>
          <w:lang w:eastAsia="zh-CN" w:bidi="th-TH"/>
        </w:rPr>
        <w:t>Professor Katie Holmes FASSA</w:t>
      </w:r>
    </w:p>
    <w:p w14:paraId="11EC6E44" w14:textId="77777777" w:rsidR="000F1876" w:rsidRPr="00CE6B92" w:rsidRDefault="000F1876" w:rsidP="001404FB">
      <w:pPr>
        <w:pStyle w:val="ListParagraph"/>
        <w:rPr>
          <w:highlight w:val="white"/>
          <w:lang w:eastAsia="zh-CN" w:bidi="th-TH"/>
        </w:rPr>
      </w:pPr>
      <w:r w:rsidRPr="00CE6B92">
        <w:rPr>
          <w:highlight w:val="white"/>
          <w:lang w:eastAsia="zh-CN" w:bidi="th-TH"/>
        </w:rPr>
        <w:t xml:space="preserve">Professor Jolanda Jetten FASSA </w:t>
      </w:r>
    </w:p>
    <w:p w14:paraId="364EDA2E" w14:textId="77777777" w:rsidR="000F1876" w:rsidRPr="00CE6B92" w:rsidRDefault="000F1876" w:rsidP="001404FB">
      <w:pPr>
        <w:pStyle w:val="ListParagraph"/>
        <w:rPr>
          <w:highlight w:val="white"/>
          <w:lang w:eastAsia="zh-CN" w:bidi="th-TH"/>
        </w:rPr>
      </w:pPr>
      <w:r w:rsidRPr="00CE6B92">
        <w:rPr>
          <w:highlight w:val="white"/>
          <w:lang w:eastAsia="zh-CN" w:bidi="th-TH"/>
        </w:rPr>
        <w:t>Professor Julia Kindt FAHA</w:t>
      </w:r>
    </w:p>
    <w:p w14:paraId="0A14E863" w14:textId="77777777" w:rsidR="000F1876" w:rsidRPr="00CE6B92" w:rsidRDefault="000F1876" w:rsidP="001404FB">
      <w:pPr>
        <w:pStyle w:val="ListParagraph"/>
        <w:rPr>
          <w:highlight w:val="white"/>
          <w:lang w:eastAsia="zh-CN" w:bidi="th-TH"/>
        </w:rPr>
      </w:pPr>
      <w:r w:rsidRPr="00CE6B92">
        <w:rPr>
          <w:highlight w:val="white"/>
          <w:lang w:eastAsia="zh-CN" w:bidi="th-TH"/>
        </w:rPr>
        <w:t>Professor Michael Platow FASSA</w:t>
      </w:r>
    </w:p>
    <w:p w14:paraId="5F23D0FD" w14:textId="77777777" w:rsidR="000F1876" w:rsidRPr="00CE6B92" w:rsidRDefault="000F1876" w:rsidP="001404FB">
      <w:pPr>
        <w:pStyle w:val="ListParagraph"/>
        <w:rPr>
          <w:highlight w:val="white"/>
          <w:lang w:eastAsia="zh-CN" w:bidi="th-TH"/>
        </w:rPr>
      </w:pPr>
      <w:r w:rsidRPr="00CE6B92">
        <w:rPr>
          <w:highlight w:val="white"/>
          <w:lang w:eastAsia="zh-CN" w:bidi="th-TH"/>
        </w:rPr>
        <w:t>Professor Lynette Russell AM FASSA FAHA (Co-Chair)</w:t>
      </w:r>
    </w:p>
    <w:p w14:paraId="7C156E7F" w14:textId="77777777" w:rsidR="000F1876" w:rsidRPr="00CE6B92" w:rsidRDefault="000F1876" w:rsidP="001404FB">
      <w:pPr>
        <w:pStyle w:val="ListParagraph"/>
        <w:rPr>
          <w:highlight w:val="white"/>
          <w:lang w:eastAsia="zh-CN" w:bidi="th-TH"/>
        </w:rPr>
      </w:pPr>
      <w:r w:rsidRPr="00CE6B92">
        <w:rPr>
          <w:highlight w:val="white"/>
          <w:lang w:eastAsia="zh-CN" w:bidi="th-TH"/>
        </w:rPr>
        <w:t>Dr Mathew Trinca FAHA</w:t>
      </w:r>
    </w:p>
    <w:p w14:paraId="5D3CF040" w14:textId="4EFC0CE7" w:rsidR="000F1876" w:rsidRPr="00CE6B92" w:rsidRDefault="001404FB" w:rsidP="00823367">
      <w:pPr>
        <w:pStyle w:val="Heading3"/>
        <w:rPr>
          <w:highlight w:val="white"/>
          <w:lang w:eastAsia="zh-CN" w:bidi="th-TH"/>
        </w:rPr>
      </w:pPr>
      <w:bookmarkStart w:id="50" w:name="_Toc218512196"/>
      <w:bookmarkStart w:id="51" w:name="_Toc218517326"/>
      <w:r w:rsidRPr="00CE6B92">
        <w:rPr>
          <w:highlight w:val="white"/>
          <w:lang w:eastAsia="zh-CN" w:bidi="th-TH"/>
        </w:rPr>
        <w:t>Academy project team and lead authors</w:t>
      </w:r>
      <w:bookmarkEnd w:id="50"/>
      <w:bookmarkEnd w:id="51"/>
    </w:p>
    <w:p w14:paraId="05D9B9AB" w14:textId="77777777" w:rsidR="000F1876" w:rsidRPr="00CE6B92" w:rsidRDefault="000F1876" w:rsidP="001404FB">
      <w:pPr>
        <w:pStyle w:val="ListParagraph"/>
        <w:rPr>
          <w:lang w:eastAsia="zh-CN" w:bidi="th-TH"/>
        </w:rPr>
      </w:pPr>
      <w:r w:rsidRPr="00CE6B92">
        <w:rPr>
          <w:highlight w:val="white"/>
          <w:lang w:eastAsia="zh-CN" w:bidi="th-TH"/>
        </w:rPr>
        <w:t>Dr Honae Cuffe</w:t>
      </w:r>
    </w:p>
    <w:p w14:paraId="0CB4969D" w14:textId="77777777" w:rsidR="000F1876" w:rsidRPr="00CE6B92" w:rsidRDefault="000F1876" w:rsidP="001404FB">
      <w:pPr>
        <w:pStyle w:val="ListParagraph"/>
        <w:rPr>
          <w:highlight w:val="white"/>
          <w:lang w:eastAsia="zh-CN" w:bidi="th-TH"/>
        </w:rPr>
      </w:pPr>
      <w:r w:rsidRPr="00CE6B92">
        <w:rPr>
          <w:highlight w:val="white"/>
          <w:lang w:eastAsia="zh-CN" w:bidi="th-TH"/>
        </w:rPr>
        <w:t>Dr Chris Hatherly</w:t>
      </w:r>
    </w:p>
    <w:sectPr w:rsidR="000F1876" w:rsidRPr="00CE6B92" w:rsidSect="00945A9E">
      <w:headerReference w:type="even" r:id="rId158"/>
      <w:footerReference w:type="even" r:id="rId159"/>
      <w:footerReference w:type="default" r:id="rId160"/>
      <w:headerReference w:type="first" r:id="rId161"/>
      <w:footerReference w:type="first" r:id="rId162"/>
      <w:pgSz w:w="11906" w:h="16838" w:code="9"/>
      <w:pgMar w:top="1440" w:right="1440" w:bottom="1440" w:left="1440"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CA9D9" w14:textId="77777777" w:rsidR="00203440" w:rsidRDefault="00203440" w:rsidP="00F82B4E">
      <w:r>
        <w:separator/>
      </w:r>
    </w:p>
  </w:endnote>
  <w:endnote w:type="continuationSeparator" w:id="0">
    <w:p w14:paraId="31CC7438" w14:textId="77777777" w:rsidR="00203440" w:rsidRDefault="00203440" w:rsidP="00F82B4E">
      <w:r>
        <w:continuationSeparator/>
      </w:r>
    </w:p>
  </w:endnote>
  <w:endnote w:type="continuationNotice" w:id="1">
    <w:p w14:paraId="2C7021AF" w14:textId="77777777" w:rsidR="00203440" w:rsidRDefault="00203440" w:rsidP="00F82B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SemiBold">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6DB7C" w14:textId="77777777" w:rsidR="00F26036" w:rsidRDefault="00F26036" w:rsidP="00F82B4E">
    <w:pPr>
      <w:pStyle w:val="Footer"/>
    </w:pPr>
    <w:r>
      <w:rPr>
        <w:noProof/>
      </w:rPr>
      <mc:AlternateContent>
        <mc:Choice Requires="wps">
          <w:drawing>
            <wp:anchor distT="0" distB="0" distL="0" distR="0" simplePos="0" relativeHeight="251658240" behindDoc="0" locked="0" layoutInCell="1" allowOverlap="1" wp14:anchorId="4E41A314" wp14:editId="471A17BF">
              <wp:simplePos x="635" y="635"/>
              <wp:positionH relativeFrom="page">
                <wp:align>center</wp:align>
              </wp:positionH>
              <wp:positionV relativeFrom="page">
                <wp:align>bottom</wp:align>
              </wp:positionV>
              <wp:extent cx="551815" cy="391160"/>
              <wp:effectExtent l="0" t="0" r="635" b="0"/>
              <wp:wrapNone/>
              <wp:docPr id="113842516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11EF2B3" w14:textId="77777777" w:rsidR="00F26036" w:rsidRPr="00F26036" w:rsidRDefault="00F26036" w:rsidP="00F82B4E">
                          <w:pPr>
                            <w:rPr>
                              <w:noProof/>
                            </w:rPr>
                          </w:pPr>
                          <w:r w:rsidRPr="00F26036">
                            <w:rPr>
                              <w:noProof/>
                            </w:rPr>
                            <w:t>OFFICIAL</w:t>
                          </w:r>
                        </w:p>
                        <w:p w14:paraId="50BF679C" w14:textId="690FA38A" w:rsidR="00F26036" w:rsidRPr="00F26036" w:rsidRDefault="00F26036" w:rsidP="00F82B4E">
                          <w:pPr>
                            <w:rPr>
                              <w:noProof/>
                            </w:rPr>
                          </w:pPr>
                          <w:r w:rsidRPr="00F26036">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41A314" id="_x0000_t202" coordsize="21600,21600" o:spt="202" path="m,l,21600r21600,l21600,xe">
              <v:stroke joinstyle="miter"/>
              <v:path gradientshapeok="t" o:connecttype="rect"/>
            </v:shapetype>
            <v:shape id="Text Box 5" o:spid="_x0000_s1026"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" filled="f" stroked="f">
              <v:textbox style="mso-fit-shape-to-text:t" inset="0,0,0,15pt">
                <w:txbxContent>
                  <w:p w14:paraId="611EF2B3" w14:textId="77777777" w:rsidR="00F26036" w:rsidRPr="00F26036" w:rsidRDefault="00F26036" w:rsidP="00F82B4E">
                    <w:pPr>
                      <w:rPr>
                        <w:noProof/>
                      </w:rPr>
                    </w:pPr>
                    <w:r w:rsidRPr="00F26036">
                      <w:rPr>
                        <w:noProof/>
                      </w:rPr>
                      <w:t>OFFICIAL</w:t>
                    </w:r>
                  </w:p>
                  <w:p w14:paraId="50BF679C" w14:textId="690FA38A" w:rsidR="00F26036" w:rsidRPr="00F26036" w:rsidRDefault="00F26036" w:rsidP="00F82B4E">
                    <w:pPr>
                      <w:rPr>
                        <w:noProof/>
                      </w:rPr>
                    </w:pPr>
                    <w:r w:rsidRPr="00F26036">
                      <w:rPr>
                        <w:noProof/>
                      </w:rPr>
                      <w:t>OFFICIAL</w:t>
                    </w:r>
                  </w:p>
                </w:txbxContent>
              </v:textbox>
              <w10:wrap anchorx="page" anchory="page"/>
            </v:shape>
          </w:pict>
        </mc:Fallback>
      </mc:AlternateContent>
    </w:r>
  </w:p>
  <w:p w14:paraId="393FDCB7" w14:textId="77777777" w:rsidR="00C4063D" w:rsidRDefault="00C4063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15047" w14:textId="64D40190" w:rsidR="00C8552F" w:rsidRDefault="00C8552F" w:rsidP="00C8552F">
    <w:pPr>
      <w:pStyle w:val="Footer"/>
    </w:pPr>
    <w:r>
      <w:t xml:space="preserve">Information resilience: </w:t>
    </w:r>
    <w:r w:rsidR="001C46CF">
      <w:t>t</w:t>
    </w:r>
    <w:r w:rsidRPr="00C8552F">
      <w:t>he role of cultural and community institutions</w:t>
    </w:r>
  </w:p>
  <w:p w14:paraId="44F48BD5" w14:textId="670A923D" w:rsidR="00C4063D" w:rsidRPr="00C8552F" w:rsidRDefault="00C8552F" w:rsidP="00C8552F">
    <w:pPr>
      <w:pStyle w:val="Footer"/>
      <w:tabs>
        <w:tab w:val="clear" w:pos="4513"/>
      </w:tabs>
      <w:rPr>
        <w:noProof/>
      </w:rPr>
    </w:pPr>
    <w:r w:rsidRPr="00064924">
      <w:rPr>
        <w:b/>
        <w:bCs/>
        <w:color w:val="95C423" w:themeColor="accent2"/>
      </w:rPr>
      <w:t xml:space="preserve">| </w:t>
    </w:r>
    <w:r w:rsidRPr="1F7B4542">
      <w:rPr>
        <w:b/>
        <w:bCs/>
      </w:rPr>
      <w:t>chiefscientist</w:t>
    </w:r>
    <w:r w:rsidRPr="1F7B4542">
      <w:t>.gov.au</w:t>
    </w:r>
    <w:r>
      <w:tab/>
    </w:r>
    <w:sdt>
      <w:sdtPr>
        <w:id w:val="1165517255"/>
        <w:docPartObj>
          <w:docPartGallery w:val="Page Numbers (Bottom of Page)"/>
          <w:docPartUnique/>
        </w:docPartObj>
      </w:sdtPr>
      <w:sdtEndPr>
        <w:rPr>
          <w:noProof/>
        </w:rPr>
      </w:sdtEndPr>
      <w:sdtContent>
        <w:r>
          <w:fldChar w:fldCharType="begin"/>
        </w:r>
        <w:r>
          <w:instrText xml:space="preserve"> PAGE  \* Arabic  \* MERGEFORMAT </w:instrText>
        </w:r>
        <w:r>
          <w:fldChar w:fldCharType="separate"/>
        </w:r>
        <w:r>
          <w:t>2</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17B49" w14:textId="54B9DB93" w:rsidR="00F26036" w:rsidRPr="00C8552F" w:rsidRDefault="00C8552F" w:rsidP="00C8552F">
    <w:pPr>
      <w:pStyle w:val="URL"/>
      <w:spacing w:after="320"/>
    </w:pPr>
    <w:bookmarkStart w:id="52" w:name="_Hlk218511211"/>
    <w:bookmarkStart w:id="53" w:name="_Hlk218511212"/>
    <w:bookmarkStart w:id="54" w:name="_Hlk218511213"/>
    <w:bookmarkStart w:id="55" w:name="_Hlk218511214"/>
    <w:r w:rsidRPr="00064924">
      <w:rPr>
        <w:b/>
        <w:bCs/>
        <w:color w:val="95C423" w:themeColor="accent2"/>
        <w:sz w:val="36"/>
        <w:szCs w:val="28"/>
      </w:rPr>
      <w:t>|</w:t>
    </w:r>
    <w:r w:rsidRPr="00064924">
      <w:rPr>
        <w:b/>
        <w:bCs/>
      </w:rPr>
      <w:t xml:space="preserve"> chiefscientist</w:t>
    </w:r>
    <w:r>
      <w:t>.gov.au</w:t>
    </w:r>
    <w:bookmarkEnd w:id="52"/>
    <w:bookmarkEnd w:id="53"/>
    <w:bookmarkEnd w:id="54"/>
    <w:bookmarkEnd w:id="5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FACEB" w14:textId="77777777" w:rsidR="00203440" w:rsidRDefault="00203440" w:rsidP="00F82B4E">
      <w:r>
        <w:separator/>
      </w:r>
    </w:p>
  </w:footnote>
  <w:footnote w:type="continuationSeparator" w:id="0">
    <w:p w14:paraId="26E1B56E" w14:textId="77777777" w:rsidR="00203440" w:rsidRDefault="00203440" w:rsidP="00F82B4E">
      <w:r>
        <w:continuationSeparator/>
      </w:r>
    </w:p>
  </w:footnote>
  <w:footnote w:type="continuationNotice" w:id="1">
    <w:p w14:paraId="03A2CFA6" w14:textId="77777777" w:rsidR="00203440" w:rsidRDefault="00203440" w:rsidP="00F82B4E"/>
  </w:footnote>
  <w:footnote w:id="2">
    <w:p w14:paraId="3246C3B2" w14:textId="77777777" w:rsidR="00937846" w:rsidRPr="00D45575" w:rsidRDefault="00937846" w:rsidP="00CE6B92">
      <w:pPr>
        <w:pStyle w:val="FootnoteText"/>
        <w:rPr>
          <w:rFonts w:ascii="Aptos" w:hAnsi="Aptos"/>
        </w:rPr>
      </w:pPr>
      <w:r w:rsidRPr="00D45575">
        <w:rPr>
          <w:rStyle w:val="FootnoteReference"/>
          <w:rFonts w:ascii="Aptos" w:hAnsi="Aptos"/>
        </w:rPr>
        <w:footnoteRef/>
      </w:r>
      <w:r w:rsidRPr="00D45575">
        <w:rPr>
          <w:rFonts w:ascii="Aptos" w:hAnsi="Aptos"/>
        </w:rPr>
        <w:t xml:space="preserve"> These results were not reported on in the most recent NAP-CC assessment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D162F" w14:textId="77777777" w:rsidR="00437D08" w:rsidRDefault="00437D08" w:rsidP="00F82B4E"/>
  <w:p w14:paraId="7FAE62E5" w14:textId="40B8D101" w:rsidR="00F26036" w:rsidRDefault="00F26036" w:rsidP="00F82B4E">
    <w:pPr>
      <w:pStyle w:val="Header"/>
    </w:pPr>
  </w:p>
  <w:p w14:paraId="5CB3ECBF" w14:textId="77777777" w:rsidR="00C4063D" w:rsidRDefault="00C4063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3A119" w14:textId="229B1F5A" w:rsidR="00C8552F" w:rsidRDefault="00C8552F">
    <w:pPr>
      <w:pStyle w:val="Header"/>
    </w:pPr>
    <w:r w:rsidRPr="00C8552F">
      <w:rPr>
        <w:b/>
        <w:bCs/>
        <w:noProof/>
      </w:rPr>
      <w:drawing>
        <wp:anchor distT="0" distB="0" distL="114300" distR="114300" simplePos="0" relativeHeight="251658241" behindDoc="1" locked="1" layoutInCell="1" allowOverlap="1" wp14:anchorId="4CE621F5" wp14:editId="331DCD6E">
          <wp:simplePos x="0" y="0"/>
          <wp:positionH relativeFrom="page">
            <wp:align>center</wp:align>
          </wp:positionH>
          <wp:positionV relativeFrom="page">
            <wp:align>top</wp:align>
          </wp:positionV>
          <wp:extent cx="7563600" cy="10692000"/>
          <wp:effectExtent l="0" t="0" r="0" b="0"/>
          <wp:wrapNone/>
          <wp:docPr id="43008828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08828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0CCF4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2A5BE3"/>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824780"/>
    <w:multiLevelType w:val="hybridMultilevel"/>
    <w:tmpl w:val="0FFA2D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4D74F4"/>
    <w:multiLevelType w:val="hybridMultilevel"/>
    <w:tmpl w:val="D6283F8E"/>
    <w:lvl w:ilvl="0" w:tplc="6A00F20A">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3E74BF"/>
    <w:multiLevelType w:val="hybridMultilevel"/>
    <w:tmpl w:val="46F8EB4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7D5F80"/>
    <w:multiLevelType w:val="hybridMultilevel"/>
    <w:tmpl w:val="9EFA714C"/>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F078C0"/>
    <w:multiLevelType w:val="hybridMultilevel"/>
    <w:tmpl w:val="6A641E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C96572B"/>
    <w:multiLevelType w:val="hybridMultilevel"/>
    <w:tmpl w:val="C798AB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ADB867"/>
    <w:multiLevelType w:val="hybridMultilevel"/>
    <w:tmpl w:val="87BA94F0"/>
    <w:lvl w:ilvl="0" w:tplc="37CE4A90">
      <w:start w:val="1"/>
      <w:numFmt w:val="decimal"/>
      <w:lvlText w:val="%1."/>
      <w:lvlJc w:val="left"/>
      <w:pPr>
        <w:ind w:left="720" w:hanging="360"/>
      </w:pPr>
      <w:rPr>
        <w:rFonts w:ascii="Aptos" w:hAnsi="Aptos" w:hint="default"/>
      </w:rPr>
    </w:lvl>
    <w:lvl w:ilvl="1" w:tplc="FFAACF3A">
      <w:start w:val="1"/>
      <w:numFmt w:val="lowerLetter"/>
      <w:lvlText w:val="%2."/>
      <w:lvlJc w:val="left"/>
      <w:pPr>
        <w:ind w:left="1440" w:hanging="360"/>
      </w:pPr>
    </w:lvl>
    <w:lvl w:ilvl="2" w:tplc="65A87786">
      <w:start w:val="1"/>
      <w:numFmt w:val="lowerRoman"/>
      <w:lvlText w:val="%3."/>
      <w:lvlJc w:val="right"/>
      <w:pPr>
        <w:ind w:left="2160" w:hanging="180"/>
      </w:pPr>
    </w:lvl>
    <w:lvl w:ilvl="3" w:tplc="C3EE3C12">
      <w:start w:val="1"/>
      <w:numFmt w:val="decimal"/>
      <w:lvlText w:val="%4."/>
      <w:lvlJc w:val="left"/>
      <w:pPr>
        <w:ind w:left="2880" w:hanging="360"/>
      </w:pPr>
    </w:lvl>
    <w:lvl w:ilvl="4" w:tplc="08340F76">
      <w:start w:val="1"/>
      <w:numFmt w:val="lowerLetter"/>
      <w:lvlText w:val="%5."/>
      <w:lvlJc w:val="left"/>
      <w:pPr>
        <w:ind w:left="3600" w:hanging="360"/>
      </w:pPr>
    </w:lvl>
    <w:lvl w:ilvl="5" w:tplc="A4CCB8EC">
      <w:start w:val="1"/>
      <w:numFmt w:val="lowerRoman"/>
      <w:lvlText w:val="%6."/>
      <w:lvlJc w:val="right"/>
      <w:pPr>
        <w:ind w:left="4320" w:hanging="180"/>
      </w:pPr>
    </w:lvl>
    <w:lvl w:ilvl="6" w:tplc="D292EA7A">
      <w:start w:val="1"/>
      <w:numFmt w:val="decimal"/>
      <w:lvlText w:val="%7."/>
      <w:lvlJc w:val="left"/>
      <w:pPr>
        <w:ind w:left="5040" w:hanging="360"/>
      </w:pPr>
    </w:lvl>
    <w:lvl w:ilvl="7" w:tplc="01B0F780">
      <w:start w:val="1"/>
      <w:numFmt w:val="lowerLetter"/>
      <w:lvlText w:val="%8."/>
      <w:lvlJc w:val="left"/>
      <w:pPr>
        <w:ind w:left="5760" w:hanging="360"/>
      </w:pPr>
    </w:lvl>
    <w:lvl w:ilvl="8" w:tplc="B4C0A9D4">
      <w:start w:val="1"/>
      <w:numFmt w:val="lowerRoman"/>
      <w:lvlText w:val="%9."/>
      <w:lvlJc w:val="right"/>
      <w:pPr>
        <w:ind w:left="6480" w:hanging="180"/>
      </w:pPr>
    </w:lvl>
  </w:abstractNum>
  <w:abstractNum w:abstractNumId="10" w15:restartNumberingAfterBreak="0">
    <w:nsid w:val="23A76F51"/>
    <w:multiLevelType w:val="hybridMultilevel"/>
    <w:tmpl w:val="940ACE1E"/>
    <w:lvl w:ilvl="0" w:tplc="0C09000F">
      <w:start w:val="1"/>
      <w:numFmt w:val="decimal"/>
      <w:lvlText w:val="%1."/>
      <w:lvlJc w:val="left"/>
      <w:pPr>
        <w:ind w:left="567" w:hanging="567"/>
      </w:pPr>
      <w:rPr>
        <w:rFonts w:hint="default"/>
      </w:rPr>
    </w:lvl>
    <w:lvl w:ilvl="1" w:tplc="FFFFFFFF">
      <w:numFmt w:val="bullet"/>
      <w:lvlText w:val="-"/>
      <w:lvlJc w:val="left"/>
      <w:pPr>
        <w:ind w:left="1134" w:hanging="567"/>
      </w:pPr>
      <w:rPr>
        <w:rFonts w:ascii="Calibri" w:eastAsiaTheme="minorHAnsi" w:hAnsi="Calibri" w:hint="default"/>
      </w:rPr>
    </w:lvl>
    <w:lvl w:ilvl="2" w:tplc="FFFFFFFF">
      <w:start w:val="1"/>
      <w:numFmt w:val="bullet"/>
      <w:lvlText w:val=""/>
      <w:lvlJc w:val="left"/>
      <w:pPr>
        <w:ind w:left="1701" w:hanging="567"/>
      </w:pPr>
      <w:rPr>
        <w:rFonts w:ascii="Wingdings" w:hAnsi="Wingdings" w:hint="default"/>
      </w:rPr>
    </w:lvl>
    <w:lvl w:ilvl="3" w:tplc="FFFFFFFF">
      <w:start w:val="1"/>
      <w:numFmt w:val="bullet"/>
      <w:lvlText w:val=""/>
      <w:lvlJc w:val="left"/>
      <w:pPr>
        <w:ind w:left="2268" w:hanging="567"/>
      </w:pPr>
      <w:rPr>
        <w:rFonts w:ascii="Symbol" w:hAnsi="Symbol" w:hint="default"/>
      </w:rPr>
    </w:lvl>
    <w:lvl w:ilvl="4" w:tplc="FFFFFFFF">
      <w:start w:val="1"/>
      <w:numFmt w:val="bullet"/>
      <w:lvlText w:val="o"/>
      <w:lvlJc w:val="left"/>
      <w:pPr>
        <w:ind w:left="2835" w:hanging="567"/>
      </w:pPr>
      <w:rPr>
        <w:rFonts w:ascii="Courier New" w:hAnsi="Courier New" w:hint="default"/>
      </w:rPr>
    </w:lvl>
    <w:lvl w:ilvl="5" w:tplc="FFFFFFFF">
      <w:start w:val="1"/>
      <w:numFmt w:val="bullet"/>
      <w:lvlText w:val=""/>
      <w:lvlJc w:val="left"/>
      <w:pPr>
        <w:ind w:left="3402" w:hanging="567"/>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5F37229"/>
    <w:multiLevelType w:val="hybridMultilevel"/>
    <w:tmpl w:val="99A86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1266E2"/>
    <w:multiLevelType w:val="multilevel"/>
    <w:tmpl w:val="30860390"/>
    <w:lvl w:ilvl="0">
      <w:start w:val="1"/>
      <w:numFmt w:val="decimal"/>
      <w:pStyle w:val="Heading2Numbered"/>
      <w:lvlText w:val="%1"/>
      <w:lvlJc w:val="left"/>
      <w:pPr>
        <w:ind w:left="851" w:hanging="851"/>
      </w:pPr>
      <w:rPr>
        <w:rFonts w:hint="default"/>
      </w:rPr>
    </w:lvl>
    <w:lvl w:ilvl="1">
      <w:start w:val="1"/>
      <w:numFmt w:val="decimal"/>
      <w:pStyle w:val="Heading3Numbered"/>
      <w:lvlText w:val="%1.%2"/>
      <w:lvlJc w:val="left"/>
      <w:pPr>
        <w:ind w:left="851" w:hanging="851"/>
      </w:pPr>
      <w:rPr>
        <w:rFonts w:hint="default"/>
      </w:rPr>
    </w:lvl>
    <w:lvl w:ilvl="2">
      <w:start w:val="1"/>
      <w:numFmt w:val="decimal"/>
      <w:pStyle w:val="Heading4Numbered"/>
      <w:lvlText w:val="%1.%2.%3"/>
      <w:lvlJc w:val="left"/>
      <w:pPr>
        <w:ind w:left="851" w:hanging="851"/>
      </w:p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3" w15:restartNumberingAfterBreak="0">
    <w:nsid w:val="3C4E3619"/>
    <w:multiLevelType w:val="hybridMultilevel"/>
    <w:tmpl w:val="37B6B8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6C2AF2"/>
    <w:multiLevelType w:val="hybridMultilevel"/>
    <w:tmpl w:val="A6ACA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0C22F1"/>
    <w:multiLevelType w:val="hybridMultilevel"/>
    <w:tmpl w:val="6100C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1274B7"/>
    <w:multiLevelType w:val="hybridMultilevel"/>
    <w:tmpl w:val="9CF298A6"/>
    <w:lvl w:ilvl="0" w:tplc="80F2390C">
      <w:start w:val="1"/>
      <w:numFmt w:val="bullet"/>
      <w:pStyle w:val="Prelims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67F4B1A"/>
    <w:multiLevelType w:val="hybridMultilevel"/>
    <w:tmpl w:val="13BEC9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F86194F"/>
    <w:multiLevelType w:val="hybridMultilevel"/>
    <w:tmpl w:val="1066903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52E10FD"/>
    <w:multiLevelType w:val="multilevel"/>
    <w:tmpl w:val="F844DDB0"/>
    <w:lvl w:ilvl="0">
      <w:numFmt w:val="bullet"/>
      <w:pStyle w:val="ListParagraph"/>
      <w:lvlText w:val=""/>
      <w:lvlJc w:val="left"/>
      <w:pPr>
        <w:ind w:left="567" w:hanging="567"/>
      </w:pPr>
      <w:rPr>
        <w:rFonts w:ascii="Symbol" w:hAnsi="Symbol" w:hint="default"/>
      </w:rPr>
    </w:lvl>
    <w:lvl w:ilvl="1">
      <w:numFmt w:val="bullet"/>
      <w:lvlText w:val="-"/>
      <w:lvlJc w:val="left"/>
      <w:pPr>
        <w:ind w:left="1134" w:hanging="567"/>
      </w:pPr>
      <w:rPr>
        <w:rFonts w:ascii="Calibri" w:eastAsiaTheme="minorHAnsi" w:hAnsi="Calibri" w:hint="default"/>
      </w:rPr>
    </w:lvl>
    <w:lvl w:ilvl="2">
      <w:start w:val="1"/>
      <w:numFmt w:val="bullet"/>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677507A"/>
    <w:multiLevelType w:val="multilevel"/>
    <w:tmpl w:val="09A088DC"/>
    <w:lvl w:ilvl="0">
      <w:start w:val="1"/>
      <w:numFmt w:val="bullet"/>
      <w:pStyle w:val="TableBullets"/>
      <w:lvlText w:val=""/>
      <w:lvlJc w:val="left"/>
      <w:pPr>
        <w:ind w:left="284" w:hanging="284"/>
      </w:pPr>
      <w:rPr>
        <w:rFonts w:ascii="Symbol" w:hAnsi="Symbol"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21" w15:restartNumberingAfterBreak="0">
    <w:nsid w:val="575E78A8"/>
    <w:multiLevelType w:val="hybridMultilevel"/>
    <w:tmpl w:val="CF22F768"/>
    <w:lvl w:ilvl="0" w:tplc="0D524BF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55074E5"/>
    <w:multiLevelType w:val="hybridMultilevel"/>
    <w:tmpl w:val="15CA3E48"/>
    <w:lvl w:ilvl="0" w:tplc="93BAD356">
      <w:start w:val="1"/>
      <w:numFmt w:val="decimal"/>
      <w:lvlText w:val="%1."/>
      <w:lvlJc w:val="left"/>
      <w:pPr>
        <w:ind w:left="567" w:hanging="567"/>
      </w:pPr>
      <w:rPr>
        <w:rFonts w:hint="default"/>
      </w:rPr>
    </w:lvl>
    <w:lvl w:ilvl="1" w:tplc="D2E408C2">
      <w:start w:val="1"/>
      <w:numFmt w:val="lowerLetter"/>
      <w:lvlText w:val="%2."/>
      <w:lvlJc w:val="left"/>
      <w:pPr>
        <w:ind w:left="1134" w:hanging="567"/>
      </w:pPr>
      <w:rPr>
        <w:rFonts w:hint="default"/>
      </w:rPr>
    </w:lvl>
    <w:lvl w:ilvl="2" w:tplc="528088D0">
      <w:start w:val="1"/>
      <w:numFmt w:val="lowerRoman"/>
      <w:lvlText w:val="%3."/>
      <w:lvlJc w:val="right"/>
      <w:pPr>
        <w:ind w:left="1701" w:hanging="567"/>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69050514">
    <w:abstractNumId w:val="13"/>
  </w:num>
  <w:num w:numId="2" w16cid:durableId="857813969">
    <w:abstractNumId w:val="8"/>
  </w:num>
  <w:num w:numId="3" w16cid:durableId="89350255">
    <w:abstractNumId w:val="6"/>
  </w:num>
  <w:num w:numId="4" w16cid:durableId="335111118">
    <w:abstractNumId w:val="5"/>
  </w:num>
  <w:num w:numId="5" w16cid:durableId="873420170">
    <w:abstractNumId w:val="15"/>
  </w:num>
  <w:num w:numId="6" w16cid:durableId="714353395">
    <w:abstractNumId w:val="9"/>
  </w:num>
  <w:num w:numId="7" w16cid:durableId="138425943">
    <w:abstractNumId w:val="1"/>
  </w:num>
  <w:num w:numId="8" w16cid:durableId="1217619658">
    <w:abstractNumId w:val="1"/>
  </w:num>
  <w:num w:numId="9" w16cid:durableId="1446196358">
    <w:abstractNumId w:val="0"/>
  </w:num>
  <w:num w:numId="10" w16cid:durableId="472217565">
    <w:abstractNumId w:val="0"/>
  </w:num>
  <w:num w:numId="11" w16cid:durableId="576479928">
    <w:abstractNumId w:val="19"/>
  </w:num>
  <w:num w:numId="12" w16cid:durableId="1175878946">
    <w:abstractNumId w:val="18"/>
  </w:num>
  <w:num w:numId="13" w16cid:durableId="648444589">
    <w:abstractNumId w:val="22"/>
  </w:num>
  <w:num w:numId="14" w16cid:durableId="1474374502">
    <w:abstractNumId w:val="2"/>
  </w:num>
  <w:num w:numId="15" w16cid:durableId="1770931210">
    <w:abstractNumId w:val="4"/>
  </w:num>
  <w:num w:numId="16" w16cid:durableId="1514956900">
    <w:abstractNumId w:val="7"/>
  </w:num>
  <w:num w:numId="17" w16cid:durableId="1928151220">
    <w:abstractNumId w:val="21"/>
  </w:num>
  <w:num w:numId="18" w16cid:durableId="1919442051">
    <w:abstractNumId w:val="17"/>
  </w:num>
  <w:num w:numId="19" w16cid:durableId="563764016">
    <w:abstractNumId w:val="14"/>
  </w:num>
  <w:num w:numId="20" w16cid:durableId="377169740">
    <w:abstractNumId w:val="11"/>
  </w:num>
  <w:num w:numId="21" w16cid:durableId="1207840999">
    <w:abstractNumId w:val="10"/>
  </w:num>
  <w:num w:numId="22" w16cid:durableId="464589266">
    <w:abstractNumId w:val="12"/>
  </w:num>
  <w:num w:numId="23" w16cid:durableId="623729169">
    <w:abstractNumId w:val="20"/>
  </w:num>
  <w:num w:numId="24" w16cid:durableId="1883979295">
    <w:abstractNumId w:val="16"/>
  </w:num>
  <w:num w:numId="25" w16cid:durableId="187526306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ED9"/>
    <w:rsid w:val="000016F9"/>
    <w:rsid w:val="00001994"/>
    <w:rsid w:val="00002F93"/>
    <w:rsid w:val="0000492A"/>
    <w:rsid w:val="00005753"/>
    <w:rsid w:val="00006962"/>
    <w:rsid w:val="000114A8"/>
    <w:rsid w:val="00014577"/>
    <w:rsid w:val="00016E9F"/>
    <w:rsid w:val="00017231"/>
    <w:rsid w:val="00017CE1"/>
    <w:rsid w:val="0002735F"/>
    <w:rsid w:val="00041EA3"/>
    <w:rsid w:val="000445DC"/>
    <w:rsid w:val="0004526D"/>
    <w:rsid w:val="00045517"/>
    <w:rsid w:val="00053FC1"/>
    <w:rsid w:val="00057DF3"/>
    <w:rsid w:val="0006255F"/>
    <w:rsid w:val="00062674"/>
    <w:rsid w:val="00062FAF"/>
    <w:rsid w:val="00063A5E"/>
    <w:rsid w:val="00065602"/>
    <w:rsid w:val="00066B8D"/>
    <w:rsid w:val="00067714"/>
    <w:rsid w:val="00070959"/>
    <w:rsid w:val="000719BB"/>
    <w:rsid w:val="00073C70"/>
    <w:rsid w:val="0008233B"/>
    <w:rsid w:val="00084408"/>
    <w:rsid w:val="0008579F"/>
    <w:rsid w:val="000870CE"/>
    <w:rsid w:val="00091AF2"/>
    <w:rsid w:val="000928FF"/>
    <w:rsid w:val="0009398C"/>
    <w:rsid w:val="000951D9"/>
    <w:rsid w:val="0009645C"/>
    <w:rsid w:val="000A04C3"/>
    <w:rsid w:val="000A19CD"/>
    <w:rsid w:val="000B08AF"/>
    <w:rsid w:val="000B394F"/>
    <w:rsid w:val="000B4E5B"/>
    <w:rsid w:val="000C0835"/>
    <w:rsid w:val="000C6BF8"/>
    <w:rsid w:val="000D0014"/>
    <w:rsid w:val="000D035F"/>
    <w:rsid w:val="000D1EB0"/>
    <w:rsid w:val="000D22EF"/>
    <w:rsid w:val="000D2CA8"/>
    <w:rsid w:val="000D36C3"/>
    <w:rsid w:val="000D3C4F"/>
    <w:rsid w:val="000D5AD7"/>
    <w:rsid w:val="000E141D"/>
    <w:rsid w:val="000E66FB"/>
    <w:rsid w:val="000F1876"/>
    <w:rsid w:val="000F76E5"/>
    <w:rsid w:val="000F78C6"/>
    <w:rsid w:val="001022A4"/>
    <w:rsid w:val="00104CBE"/>
    <w:rsid w:val="00106795"/>
    <w:rsid w:val="00111BCD"/>
    <w:rsid w:val="00112549"/>
    <w:rsid w:val="00114D6A"/>
    <w:rsid w:val="00117867"/>
    <w:rsid w:val="00120C01"/>
    <w:rsid w:val="00125731"/>
    <w:rsid w:val="00130776"/>
    <w:rsid w:val="00133222"/>
    <w:rsid w:val="00134121"/>
    <w:rsid w:val="00137011"/>
    <w:rsid w:val="001404FB"/>
    <w:rsid w:val="0014110A"/>
    <w:rsid w:val="00141FF5"/>
    <w:rsid w:val="0014433E"/>
    <w:rsid w:val="001451D6"/>
    <w:rsid w:val="001478E0"/>
    <w:rsid w:val="001523E5"/>
    <w:rsid w:val="00155217"/>
    <w:rsid w:val="00156444"/>
    <w:rsid w:val="00160BD8"/>
    <w:rsid w:val="001622EB"/>
    <w:rsid w:val="001641E0"/>
    <w:rsid w:val="001668FB"/>
    <w:rsid w:val="00166AD5"/>
    <w:rsid w:val="00167F1B"/>
    <w:rsid w:val="001701B2"/>
    <w:rsid w:val="0017181A"/>
    <w:rsid w:val="00171C1E"/>
    <w:rsid w:val="00172A76"/>
    <w:rsid w:val="00173299"/>
    <w:rsid w:val="00176EEA"/>
    <w:rsid w:val="00177988"/>
    <w:rsid w:val="001802E6"/>
    <w:rsid w:val="001820CC"/>
    <w:rsid w:val="0018281B"/>
    <w:rsid w:val="00182C2E"/>
    <w:rsid w:val="00186C42"/>
    <w:rsid w:val="001932D9"/>
    <w:rsid w:val="00195080"/>
    <w:rsid w:val="001962C4"/>
    <w:rsid w:val="00196446"/>
    <w:rsid w:val="001A12A9"/>
    <w:rsid w:val="001A4476"/>
    <w:rsid w:val="001A6464"/>
    <w:rsid w:val="001A66C1"/>
    <w:rsid w:val="001A7C61"/>
    <w:rsid w:val="001B4FA6"/>
    <w:rsid w:val="001B604C"/>
    <w:rsid w:val="001B65C0"/>
    <w:rsid w:val="001B7D11"/>
    <w:rsid w:val="001B7F4E"/>
    <w:rsid w:val="001C13BB"/>
    <w:rsid w:val="001C1D71"/>
    <w:rsid w:val="001C2447"/>
    <w:rsid w:val="001C46CF"/>
    <w:rsid w:val="001C60F2"/>
    <w:rsid w:val="001C721D"/>
    <w:rsid w:val="001D3FF5"/>
    <w:rsid w:val="001D66D8"/>
    <w:rsid w:val="001E786E"/>
    <w:rsid w:val="001F0601"/>
    <w:rsid w:val="001F08FB"/>
    <w:rsid w:val="001F117B"/>
    <w:rsid w:val="00201C66"/>
    <w:rsid w:val="00202CDC"/>
    <w:rsid w:val="00203440"/>
    <w:rsid w:val="00203C36"/>
    <w:rsid w:val="00204AD1"/>
    <w:rsid w:val="0020591C"/>
    <w:rsid w:val="0020666A"/>
    <w:rsid w:val="00207083"/>
    <w:rsid w:val="0022520A"/>
    <w:rsid w:val="00230605"/>
    <w:rsid w:val="002308BF"/>
    <w:rsid w:val="002327C1"/>
    <w:rsid w:val="00237E61"/>
    <w:rsid w:val="0024165D"/>
    <w:rsid w:val="0024268E"/>
    <w:rsid w:val="002449DA"/>
    <w:rsid w:val="0024536E"/>
    <w:rsid w:val="00245A7F"/>
    <w:rsid w:val="00246AEF"/>
    <w:rsid w:val="002543D0"/>
    <w:rsid w:val="002564E9"/>
    <w:rsid w:val="002646DE"/>
    <w:rsid w:val="00273ABF"/>
    <w:rsid w:val="00275913"/>
    <w:rsid w:val="00277C4D"/>
    <w:rsid w:val="00282446"/>
    <w:rsid w:val="0028554D"/>
    <w:rsid w:val="0028776D"/>
    <w:rsid w:val="00290A04"/>
    <w:rsid w:val="00290DA0"/>
    <w:rsid w:val="002911B6"/>
    <w:rsid w:val="00292557"/>
    <w:rsid w:val="00293806"/>
    <w:rsid w:val="00293C0A"/>
    <w:rsid w:val="00294A00"/>
    <w:rsid w:val="002A1C07"/>
    <w:rsid w:val="002A35E5"/>
    <w:rsid w:val="002A386C"/>
    <w:rsid w:val="002A4D2C"/>
    <w:rsid w:val="002B0CCA"/>
    <w:rsid w:val="002B3A5F"/>
    <w:rsid w:val="002B6EDD"/>
    <w:rsid w:val="002C15F9"/>
    <w:rsid w:val="002C2F1B"/>
    <w:rsid w:val="002C32C1"/>
    <w:rsid w:val="002C4E34"/>
    <w:rsid w:val="002C61A9"/>
    <w:rsid w:val="002D1430"/>
    <w:rsid w:val="002D175C"/>
    <w:rsid w:val="002D1BFD"/>
    <w:rsid w:val="002D51AC"/>
    <w:rsid w:val="002E0564"/>
    <w:rsid w:val="002E277F"/>
    <w:rsid w:val="002E27D0"/>
    <w:rsid w:val="002E28D5"/>
    <w:rsid w:val="002E56B6"/>
    <w:rsid w:val="002F08BB"/>
    <w:rsid w:val="002F0EE5"/>
    <w:rsid w:val="002F29D5"/>
    <w:rsid w:val="002F3E6E"/>
    <w:rsid w:val="002F4C94"/>
    <w:rsid w:val="002F5308"/>
    <w:rsid w:val="002F611A"/>
    <w:rsid w:val="002F628C"/>
    <w:rsid w:val="00307E3A"/>
    <w:rsid w:val="003123D9"/>
    <w:rsid w:val="00313088"/>
    <w:rsid w:val="00313296"/>
    <w:rsid w:val="003308C5"/>
    <w:rsid w:val="0033308D"/>
    <w:rsid w:val="00341957"/>
    <w:rsid w:val="00344AF0"/>
    <w:rsid w:val="00345910"/>
    <w:rsid w:val="00351AAC"/>
    <w:rsid w:val="00351F2D"/>
    <w:rsid w:val="00352398"/>
    <w:rsid w:val="003532A6"/>
    <w:rsid w:val="003553C1"/>
    <w:rsid w:val="003566B0"/>
    <w:rsid w:val="00357946"/>
    <w:rsid w:val="00364013"/>
    <w:rsid w:val="00364FEF"/>
    <w:rsid w:val="00367786"/>
    <w:rsid w:val="0038211A"/>
    <w:rsid w:val="0038346E"/>
    <w:rsid w:val="0038385B"/>
    <w:rsid w:val="00384E80"/>
    <w:rsid w:val="00385398"/>
    <w:rsid w:val="00385A75"/>
    <w:rsid w:val="00386865"/>
    <w:rsid w:val="00386DE5"/>
    <w:rsid w:val="00391F61"/>
    <w:rsid w:val="00396F1B"/>
    <w:rsid w:val="003A3653"/>
    <w:rsid w:val="003A4CD3"/>
    <w:rsid w:val="003B3DF3"/>
    <w:rsid w:val="003C4255"/>
    <w:rsid w:val="003C69E8"/>
    <w:rsid w:val="003D4018"/>
    <w:rsid w:val="003D4587"/>
    <w:rsid w:val="003D6C02"/>
    <w:rsid w:val="003E1FC3"/>
    <w:rsid w:val="003E4186"/>
    <w:rsid w:val="003E4746"/>
    <w:rsid w:val="003E5492"/>
    <w:rsid w:val="003E6AF0"/>
    <w:rsid w:val="003F5459"/>
    <w:rsid w:val="00401A19"/>
    <w:rsid w:val="00407DDF"/>
    <w:rsid w:val="00407ED1"/>
    <w:rsid w:val="00413B4D"/>
    <w:rsid w:val="004161D9"/>
    <w:rsid w:val="00416511"/>
    <w:rsid w:val="00416925"/>
    <w:rsid w:val="00417E72"/>
    <w:rsid w:val="00420801"/>
    <w:rsid w:val="00421300"/>
    <w:rsid w:val="00424638"/>
    <w:rsid w:val="004254EC"/>
    <w:rsid w:val="004351EE"/>
    <w:rsid w:val="0043673C"/>
    <w:rsid w:val="00437CFA"/>
    <w:rsid w:val="00437D08"/>
    <w:rsid w:val="00440646"/>
    <w:rsid w:val="00443BBC"/>
    <w:rsid w:val="004531A2"/>
    <w:rsid w:val="00455915"/>
    <w:rsid w:val="00466B15"/>
    <w:rsid w:val="004717FD"/>
    <w:rsid w:val="00474ABD"/>
    <w:rsid w:val="00474FE7"/>
    <w:rsid w:val="00480AAF"/>
    <w:rsid w:val="0048651B"/>
    <w:rsid w:val="00490524"/>
    <w:rsid w:val="004909EB"/>
    <w:rsid w:val="00492B51"/>
    <w:rsid w:val="004931CD"/>
    <w:rsid w:val="00494E74"/>
    <w:rsid w:val="004978AC"/>
    <w:rsid w:val="004A17BF"/>
    <w:rsid w:val="004A3933"/>
    <w:rsid w:val="004B1889"/>
    <w:rsid w:val="004B4737"/>
    <w:rsid w:val="004C0816"/>
    <w:rsid w:val="004C518E"/>
    <w:rsid w:val="004C64E8"/>
    <w:rsid w:val="004D08DF"/>
    <w:rsid w:val="004D0E89"/>
    <w:rsid w:val="004D5411"/>
    <w:rsid w:val="004D6128"/>
    <w:rsid w:val="004E1CF3"/>
    <w:rsid w:val="004E316E"/>
    <w:rsid w:val="004F30CD"/>
    <w:rsid w:val="004F3F77"/>
    <w:rsid w:val="004F6B0F"/>
    <w:rsid w:val="004F6D0C"/>
    <w:rsid w:val="004F779E"/>
    <w:rsid w:val="0050000E"/>
    <w:rsid w:val="00500939"/>
    <w:rsid w:val="00500C80"/>
    <w:rsid w:val="005011A5"/>
    <w:rsid w:val="0050389C"/>
    <w:rsid w:val="00504128"/>
    <w:rsid w:val="005043B0"/>
    <w:rsid w:val="005069DE"/>
    <w:rsid w:val="00507051"/>
    <w:rsid w:val="00507397"/>
    <w:rsid w:val="005110F8"/>
    <w:rsid w:val="00513D72"/>
    <w:rsid w:val="0051515E"/>
    <w:rsid w:val="005178DA"/>
    <w:rsid w:val="00520581"/>
    <w:rsid w:val="0052121C"/>
    <w:rsid w:val="0052169D"/>
    <w:rsid w:val="005223A1"/>
    <w:rsid w:val="005224E3"/>
    <w:rsid w:val="005334F6"/>
    <w:rsid w:val="005351F6"/>
    <w:rsid w:val="00535420"/>
    <w:rsid w:val="005363A5"/>
    <w:rsid w:val="00536CF0"/>
    <w:rsid w:val="00543562"/>
    <w:rsid w:val="00546407"/>
    <w:rsid w:val="00552B7A"/>
    <w:rsid w:val="00554285"/>
    <w:rsid w:val="0055562D"/>
    <w:rsid w:val="005626AD"/>
    <w:rsid w:val="0056420C"/>
    <w:rsid w:val="005645B1"/>
    <w:rsid w:val="00571E67"/>
    <w:rsid w:val="005754DB"/>
    <w:rsid w:val="005771D7"/>
    <w:rsid w:val="00577966"/>
    <w:rsid w:val="005807C9"/>
    <w:rsid w:val="005835B1"/>
    <w:rsid w:val="005853F5"/>
    <w:rsid w:val="00585A5F"/>
    <w:rsid w:val="00590BA3"/>
    <w:rsid w:val="0059173F"/>
    <w:rsid w:val="00595349"/>
    <w:rsid w:val="00596A1B"/>
    <w:rsid w:val="005A0F47"/>
    <w:rsid w:val="005A2C6A"/>
    <w:rsid w:val="005A62DA"/>
    <w:rsid w:val="005A7512"/>
    <w:rsid w:val="005A7A64"/>
    <w:rsid w:val="005A7C88"/>
    <w:rsid w:val="005B1022"/>
    <w:rsid w:val="005B1BE3"/>
    <w:rsid w:val="005B4B24"/>
    <w:rsid w:val="005B4F27"/>
    <w:rsid w:val="005B5031"/>
    <w:rsid w:val="005B5094"/>
    <w:rsid w:val="005C32BE"/>
    <w:rsid w:val="005C4AD0"/>
    <w:rsid w:val="005C7422"/>
    <w:rsid w:val="005C7749"/>
    <w:rsid w:val="005D3BD0"/>
    <w:rsid w:val="005D3F72"/>
    <w:rsid w:val="005D4218"/>
    <w:rsid w:val="005D714E"/>
    <w:rsid w:val="005D7B2E"/>
    <w:rsid w:val="005D7D39"/>
    <w:rsid w:val="005E0DEF"/>
    <w:rsid w:val="005E4A88"/>
    <w:rsid w:val="005E742B"/>
    <w:rsid w:val="005E7E80"/>
    <w:rsid w:val="005F1E30"/>
    <w:rsid w:val="005F6267"/>
    <w:rsid w:val="005F647E"/>
    <w:rsid w:val="005F7953"/>
    <w:rsid w:val="006014C5"/>
    <w:rsid w:val="00602201"/>
    <w:rsid w:val="0060271E"/>
    <w:rsid w:val="00604A57"/>
    <w:rsid w:val="0061003A"/>
    <w:rsid w:val="006128F7"/>
    <w:rsid w:val="00621CC4"/>
    <w:rsid w:val="00627B9F"/>
    <w:rsid w:val="006309B3"/>
    <w:rsid w:val="00632E50"/>
    <w:rsid w:val="0063359F"/>
    <w:rsid w:val="00635244"/>
    <w:rsid w:val="00635BFA"/>
    <w:rsid w:val="006367A0"/>
    <w:rsid w:val="006405B6"/>
    <w:rsid w:val="00642E26"/>
    <w:rsid w:val="006433CB"/>
    <w:rsid w:val="006438CA"/>
    <w:rsid w:val="006443D6"/>
    <w:rsid w:val="006445F1"/>
    <w:rsid w:val="00653630"/>
    <w:rsid w:val="006538B4"/>
    <w:rsid w:val="00653F63"/>
    <w:rsid w:val="0065526D"/>
    <w:rsid w:val="0065721C"/>
    <w:rsid w:val="006618C6"/>
    <w:rsid w:val="00662D59"/>
    <w:rsid w:val="006635A5"/>
    <w:rsid w:val="00663F7C"/>
    <w:rsid w:val="006650A2"/>
    <w:rsid w:val="006701EA"/>
    <w:rsid w:val="0067290C"/>
    <w:rsid w:val="00672D21"/>
    <w:rsid w:val="00676147"/>
    <w:rsid w:val="00676474"/>
    <w:rsid w:val="006827D5"/>
    <w:rsid w:val="00683158"/>
    <w:rsid w:val="00685FB9"/>
    <w:rsid w:val="00687BDA"/>
    <w:rsid w:val="00687D52"/>
    <w:rsid w:val="006908D4"/>
    <w:rsid w:val="006936F9"/>
    <w:rsid w:val="00693ADA"/>
    <w:rsid w:val="006946D6"/>
    <w:rsid w:val="006A0053"/>
    <w:rsid w:val="006A591F"/>
    <w:rsid w:val="006B0F7B"/>
    <w:rsid w:val="006B2516"/>
    <w:rsid w:val="006C461A"/>
    <w:rsid w:val="006C6108"/>
    <w:rsid w:val="006D001B"/>
    <w:rsid w:val="006D2FF7"/>
    <w:rsid w:val="006D4DD5"/>
    <w:rsid w:val="006D7EB3"/>
    <w:rsid w:val="006E3582"/>
    <w:rsid w:val="006E4F9A"/>
    <w:rsid w:val="006E5885"/>
    <w:rsid w:val="006E7B58"/>
    <w:rsid w:val="006F239F"/>
    <w:rsid w:val="0070386A"/>
    <w:rsid w:val="0071580B"/>
    <w:rsid w:val="007345CD"/>
    <w:rsid w:val="00736E3F"/>
    <w:rsid w:val="00740D1B"/>
    <w:rsid w:val="007467FC"/>
    <w:rsid w:val="00747A37"/>
    <w:rsid w:val="00747F0B"/>
    <w:rsid w:val="007543A7"/>
    <w:rsid w:val="00755FC4"/>
    <w:rsid w:val="0075640A"/>
    <w:rsid w:val="00760E29"/>
    <w:rsid w:val="007638BD"/>
    <w:rsid w:val="00764920"/>
    <w:rsid w:val="007649FC"/>
    <w:rsid w:val="0076745E"/>
    <w:rsid w:val="00771A4A"/>
    <w:rsid w:val="00771E86"/>
    <w:rsid w:val="00777301"/>
    <w:rsid w:val="00780C4E"/>
    <w:rsid w:val="007829BA"/>
    <w:rsid w:val="00783B0B"/>
    <w:rsid w:val="0079026C"/>
    <w:rsid w:val="007922FE"/>
    <w:rsid w:val="00794855"/>
    <w:rsid w:val="007A0A92"/>
    <w:rsid w:val="007A136A"/>
    <w:rsid w:val="007A42EB"/>
    <w:rsid w:val="007A7ED9"/>
    <w:rsid w:val="007B3AA6"/>
    <w:rsid w:val="007B6C23"/>
    <w:rsid w:val="007C3D8E"/>
    <w:rsid w:val="007D0CE8"/>
    <w:rsid w:val="007D1FE4"/>
    <w:rsid w:val="007D4DBE"/>
    <w:rsid w:val="007D6131"/>
    <w:rsid w:val="007D66D4"/>
    <w:rsid w:val="007D7FFB"/>
    <w:rsid w:val="007E224F"/>
    <w:rsid w:val="007E36E7"/>
    <w:rsid w:val="007E4267"/>
    <w:rsid w:val="007E4D5E"/>
    <w:rsid w:val="007E731C"/>
    <w:rsid w:val="007F1E74"/>
    <w:rsid w:val="007F66DA"/>
    <w:rsid w:val="007F75A4"/>
    <w:rsid w:val="00803C00"/>
    <w:rsid w:val="00804B8F"/>
    <w:rsid w:val="008058F8"/>
    <w:rsid w:val="008121B7"/>
    <w:rsid w:val="00812E58"/>
    <w:rsid w:val="00820A4C"/>
    <w:rsid w:val="00820E6D"/>
    <w:rsid w:val="00823367"/>
    <w:rsid w:val="008244BF"/>
    <w:rsid w:val="0082766C"/>
    <w:rsid w:val="0083019E"/>
    <w:rsid w:val="00834EFD"/>
    <w:rsid w:val="00842154"/>
    <w:rsid w:val="008475C0"/>
    <w:rsid w:val="0084792B"/>
    <w:rsid w:val="00852662"/>
    <w:rsid w:val="00854144"/>
    <w:rsid w:val="00862216"/>
    <w:rsid w:val="0086473C"/>
    <w:rsid w:val="008702A4"/>
    <w:rsid w:val="0087103B"/>
    <w:rsid w:val="008737B5"/>
    <w:rsid w:val="0087499C"/>
    <w:rsid w:val="00875948"/>
    <w:rsid w:val="00880482"/>
    <w:rsid w:val="00880917"/>
    <w:rsid w:val="008814DA"/>
    <w:rsid w:val="00884A36"/>
    <w:rsid w:val="00892A10"/>
    <w:rsid w:val="00893567"/>
    <w:rsid w:val="00893752"/>
    <w:rsid w:val="0089603A"/>
    <w:rsid w:val="00897DE2"/>
    <w:rsid w:val="008A2937"/>
    <w:rsid w:val="008A3738"/>
    <w:rsid w:val="008A3E9C"/>
    <w:rsid w:val="008A7D78"/>
    <w:rsid w:val="008B281E"/>
    <w:rsid w:val="008B3687"/>
    <w:rsid w:val="008B3955"/>
    <w:rsid w:val="008B4DC2"/>
    <w:rsid w:val="008C0E14"/>
    <w:rsid w:val="008C5EDA"/>
    <w:rsid w:val="008C606F"/>
    <w:rsid w:val="008E22D0"/>
    <w:rsid w:val="008E4A77"/>
    <w:rsid w:val="008F1A91"/>
    <w:rsid w:val="008F2C01"/>
    <w:rsid w:val="0090504B"/>
    <w:rsid w:val="00906F65"/>
    <w:rsid w:val="009074AA"/>
    <w:rsid w:val="0090767C"/>
    <w:rsid w:val="009109BB"/>
    <w:rsid w:val="00910B44"/>
    <w:rsid w:val="00912699"/>
    <w:rsid w:val="00912831"/>
    <w:rsid w:val="00913496"/>
    <w:rsid w:val="00913B0C"/>
    <w:rsid w:val="009148C8"/>
    <w:rsid w:val="00915812"/>
    <w:rsid w:val="00916F10"/>
    <w:rsid w:val="00917AAC"/>
    <w:rsid w:val="00920774"/>
    <w:rsid w:val="0092117C"/>
    <w:rsid w:val="00923EFA"/>
    <w:rsid w:val="00925E39"/>
    <w:rsid w:val="00932B9D"/>
    <w:rsid w:val="00933917"/>
    <w:rsid w:val="0093424F"/>
    <w:rsid w:val="009370A8"/>
    <w:rsid w:val="00937846"/>
    <w:rsid w:val="009407FC"/>
    <w:rsid w:val="00942210"/>
    <w:rsid w:val="009430E0"/>
    <w:rsid w:val="00945A9E"/>
    <w:rsid w:val="00947A2E"/>
    <w:rsid w:val="00952990"/>
    <w:rsid w:val="009532EE"/>
    <w:rsid w:val="00960362"/>
    <w:rsid w:val="00963029"/>
    <w:rsid w:val="0096355D"/>
    <w:rsid w:val="00965934"/>
    <w:rsid w:val="0096612F"/>
    <w:rsid w:val="00966317"/>
    <w:rsid w:val="00970A35"/>
    <w:rsid w:val="00971860"/>
    <w:rsid w:val="00972274"/>
    <w:rsid w:val="00974A84"/>
    <w:rsid w:val="009759C5"/>
    <w:rsid w:val="00976A74"/>
    <w:rsid w:val="00977F38"/>
    <w:rsid w:val="00980936"/>
    <w:rsid w:val="00983276"/>
    <w:rsid w:val="00983823"/>
    <w:rsid w:val="00984405"/>
    <w:rsid w:val="00985663"/>
    <w:rsid w:val="00986B3E"/>
    <w:rsid w:val="009976A0"/>
    <w:rsid w:val="009A1E7E"/>
    <w:rsid w:val="009A3294"/>
    <w:rsid w:val="009A6940"/>
    <w:rsid w:val="009B1D22"/>
    <w:rsid w:val="009B36D3"/>
    <w:rsid w:val="009B464C"/>
    <w:rsid w:val="009B6D7D"/>
    <w:rsid w:val="009C0976"/>
    <w:rsid w:val="009C2E23"/>
    <w:rsid w:val="009C554C"/>
    <w:rsid w:val="009C718C"/>
    <w:rsid w:val="009C7262"/>
    <w:rsid w:val="009D085B"/>
    <w:rsid w:val="009E0547"/>
    <w:rsid w:val="009E1320"/>
    <w:rsid w:val="009E23C4"/>
    <w:rsid w:val="009E27C2"/>
    <w:rsid w:val="009E74FD"/>
    <w:rsid w:val="009E77C1"/>
    <w:rsid w:val="009F4F28"/>
    <w:rsid w:val="00A02234"/>
    <w:rsid w:val="00A02802"/>
    <w:rsid w:val="00A02EFA"/>
    <w:rsid w:val="00A06E0D"/>
    <w:rsid w:val="00A1450D"/>
    <w:rsid w:val="00A15AEA"/>
    <w:rsid w:val="00A2203C"/>
    <w:rsid w:val="00A2332D"/>
    <w:rsid w:val="00A310FE"/>
    <w:rsid w:val="00A32C17"/>
    <w:rsid w:val="00A34C7D"/>
    <w:rsid w:val="00A42EC3"/>
    <w:rsid w:val="00A43BEC"/>
    <w:rsid w:val="00A457A7"/>
    <w:rsid w:val="00A4636E"/>
    <w:rsid w:val="00A50C1B"/>
    <w:rsid w:val="00A50C54"/>
    <w:rsid w:val="00A51A6D"/>
    <w:rsid w:val="00A52322"/>
    <w:rsid w:val="00A5270A"/>
    <w:rsid w:val="00A60830"/>
    <w:rsid w:val="00A61868"/>
    <w:rsid w:val="00A61C18"/>
    <w:rsid w:val="00A632A4"/>
    <w:rsid w:val="00A63C89"/>
    <w:rsid w:val="00A6550D"/>
    <w:rsid w:val="00A67B28"/>
    <w:rsid w:val="00A71851"/>
    <w:rsid w:val="00A747E3"/>
    <w:rsid w:val="00A751AF"/>
    <w:rsid w:val="00A7561C"/>
    <w:rsid w:val="00A76A4D"/>
    <w:rsid w:val="00A834E8"/>
    <w:rsid w:val="00A87779"/>
    <w:rsid w:val="00A87794"/>
    <w:rsid w:val="00A901C1"/>
    <w:rsid w:val="00A906C9"/>
    <w:rsid w:val="00A9136D"/>
    <w:rsid w:val="00A92D32"/>
    <w:rsid w:val="00AA39BB"/>
    <w:rsid w:val="00AB1B7A"/>
    <w:rsid w:val="00AB2B25"/>
    <w:rsid w:val="00AB478A"/>
    <w:rsid w:val="00AB4BE8"/>
    <w:rsid w:val="00AC30CB"/>
    <w:rsid w:val="00AC39D6"/>
    <w:rsid w:val="00AC63F4"/>
    <w:rsid w:val="00AD1BFE"/>
    <w:rsid w:val="00AD408C"/>
    <w:rsid w:val="00AD5D6D"/>
    <w:rsid w:val="00AD6A12"/>
    <w:rsid w:val="00AE0134"/>
    <w:rsid w:val="00AE1BC0"/>
    <w:rsid w:val="00AE40A4"/>
    <w:rsid w:val="00AE4A89"/>
    <w:rsid w:val="00AF2B76"/>
    <w:rsid w:val="00AF2C06"/>
    <w:rsid w:val="00AF43F6"/>
    <w:rsid w:val="00AF4663"/>
    <w:rsid w:val="00B01C4D"/>
    <w:rsid w:val="00B04569"/>
    <w:rsid w:val="00B04D23"/>
    <w:rsid w:val="00B05CB9"/>
    <w:rsid w:val="00B152C0"/>
    <w:rsid w:val="00B1559C"/>
    <w:rsid w:val="00B20AF2"/>
    <w:rsid w:val="00B22FF4"/>
    <w:rsid w:val="00B24014"/>
    <w:rsid w:val="00B249A2"/>
    <w:rsid w:val="00B274F0"/>
    <w:rsid w:val="00B304C8"/>
    <w:rsid w:val="00B30B18"/>
    <w:rsid w:val="00B32CC6"/>
    <w:rsid w:val="00B32F59"/>
    <w:rsid w:val="00B34506"/>
    <w:rsid w:val="00B376A0"/>
    <w:rsid w:val="00B4297E"/>
    <w:rsid w:val="00B43AC2"/>
    <w:rsid w:val="00B44948"/>
    <w:rsid w:val="00B46061"/>
    <w:rsid w:val="00B46B03"/>
    <w:rsid w:val="00B52F0E"/>
    <w:rsid w:val="00B52F12"/>
    <w:rsid w:val="00B533D7"/>
    <w:rsid w:val="00B536A1"/>
    <w:rsid w:val="00B53A38"/>
    <w:rsid w:val="00B61F32"/>
    <w:rsid w:val="00B65140"/>
    <w:rsid w:val="00B65221"/>
    <w:rsid w:val="00B660CB"/>
    <w:rsid w:val="00B7013B"/>
    <w:rsid w:val="00B7171D"/>
    <w:rsid w:val="00B7237C"/>
    <w:rsid w:val="00B75685"/>
    <w:rsid w:val="00B76EDD"/>
    <w:rsid w:val="00B81208"/>
    <w:rsid w:val="00B83BE4"/>
    <w:rsid w:val="00B83FD3"/>
    <w:rsid w:val="00B870C1"/>
    <w:rsid w:val="00B929B2"/>
    <w:rsid w:val="00B93E6F"/>
    <w:rsid w:val="00B949DF"/>
    <w:rsid w:val="00BA1CF9"/>
    <w:rsid w:val="00BA253E"/>
    <w:rsid w:val="00BA3A7D"/>
    <w:rsid w:val="00BB0C36"/>
    <w:rsid w:val="00BB49D6"/>
    <w:rsid w:val="00BB50C6"/>
    <w:rsid w:val="00BB6A63"/>
    <w:rsid w:val="00BB78C4"/>
    <w:rsid w:val="00BC64B0"/>
    <w:rsid w:val="00BD1C4D"/>
    <w:rsid w:val="00BD449E"/>
    <w:rsid w:val="00BD76C8"/>
    <w:rsid w:val="00BE3899"/>
    <w:rsid w:val="00BE5D00"/>
    <w:rsid w:val="00BF2CE7"/>
    <w:rsid w:val="00BF31BB"/>
    <w:rsid w:val="00BF6FEA"/>
    <w:rsid w:val="00BF701A"/>
    <w:rsid w:val="00BF748D"/>
    <w:rsid w:val="00C024E2"/>
    <w:rsid w:val="00C05C9D"/>
    <w:rsid w:val="00C06DF6"/>
    <w:rsid w:val="00C06E1D"/>
    <w:rsid w:val="00C14775"/>
    <w:rsid w:val="00C14AFB"/>
    <w:rsid w:val="00C172F8"/>
    <w:rsid w:val="00C17591"/>
    <w:rsid w:val="00C17923"/>
    <w:rsid w:val="00C20244"/>
    <w:rsid w:val="00C21D72"/>
    <w:rsid w:val="00C24F12"/>
    <w:rsid w:val="00C26245"/>
    <w:rsid w:val="00C269A6"/>
    <w:rsid w:val="00C26CF0"/>
    <w:rsid w:val="00C3060F"/>
    <w:rsid w:val="00C307F1"/>
    <w:rsid w:val="00C309AA"/>
    <w:rsid w:val="00C30AB9"/>
    <w:rsid w:val="00C325DF"/>
    <w:rsid w:val="00C32B9B"/>
    <w:rsid w:val="00C352B7"/>
    <w:rsid w:val="00C3580E"/>
    <w:rsid w:val="00C37584"/>
    <w:rsid w:val="00C4063D"/>
    <w:rsid w:val="00C41085"/>
    <w:rsid w:val="00C410C4"/>
    <w:rsid w:val="00C42579"/>
    <w:rsid w:val="00C44F6B"/>
    <w:rsid w:val="00C4691C"/>
    <w:rsid w:val="00C50106"/>
    <w:rsid w:val="00C503F2"/>
    <w:rsid w:val="00C52B4C"/>
    <w:rsid w:val="00C53851"/>
    <w:rsid w:val="00C57472"/>
    <w:rsid w:val="00C578B1"/>
    <w:rsid w:val="00C62BCE"/>
    <w:rsid w:val="00C62C85"/>
    <w:rsid w:val="00C64619"/>
    <w:rsid w:val="00C64EDF"/>
    <w:rsid w:val="00C65B5A"/>
    <w:rsid w:val="00C6662D"/>
    <w:rsid w:val="00C67FCB"/>
    <w:rsid w:val="00C72346"/>
    <w:rsid w:val="00C723DC"/>
    <w:rsid w:val="00C81FE1"/>
    <w:rsid w:val="00C827E0"/>
    <w:rsid w:val="00C840FC"/>
    <w:rsid w:val="00C8552F"/>
    <w:rsid w:val="00C86761"/>
    <w:rsid w:val="00C867AF"/>
    <w:rsid w:val="00CA0A8D"/>
    <w:rsid w:val="00CA114A"/>
    <w:rsid w:val="00CA2D7F"/>
    <w:rsid w:val="00CA52C7"/>
    <w:rsid w:val="00CB2A4A"/>
    <w:rsid w:val="00CB32CE"/>
    <w:rsid w:val="00CB6C4E"/>
    <w:rsid w:val="00CC0215"/>
    <w:rsid w:val="00CC1F77"/>
    <w:rsid w:val="00CC36B6"/>
    <w:rsid w:val="00CC7793"/>
    <w:rsid w:val="00CC7ACA"/>
    <w:rsid w:val="00CD32CB"/>
    <w:rsid w:val="00CD3C36"/>
    <w:rsid w:val="00CD525B"/>
    <w:rsid w:val="00CE132F"/>
    <w:rsid w:val="00CE17A4"/>
    <w:rsid w:val="00CE504D"/>
    <w:rsid w:val="00CE6B92"/>
    <w:rsid w:val="00CE6CCC"/>
    <w:rsid w:val="00CF071D"/>
    <w:rsid w:val="00CF72D6"/>
    <w:rsid w:val="00D02F40"/>
    <w:rsid w:val="00D04A40"/>
    <w:rsid w:val="00D100AC"/>
    <w:rsid w:val="00D150A5"/>
    <w:rsid w:val="00D211BE"/>
    <w:rsid w:val="00D215A3"/>
    <w:rsid w:val="00D26B90"/>
    <w:rsid w:val="00D27477"/>
    <w:rsid w:val="00D30014"/>
    <w:rsid w:val="00D30452"/>
    <w:rsid w:val="00D30786"/>
    <w:rsid w:val="00D32ADD"/>
    <w:rsid w:val="00D33B88"/>
    <w:rsid w:val="00D346C3"/>
    <w:rsid w:val="00D356FE"/>
    <w:rsid w:val="00D35896"/>
    <w:rsid w:val="00D42CF0"/>
    <w:rsid w:val="00D438F2"/>
    <w:rsid w:val="00D520BD"/>
    <w:rsid w:val="00D5225D"/>
    <w:rsid w:val="00D54C4D"/>
    <w:rsid w:val="00D54F24"/>
    <w:rsid w:val="00D561FC"/>
    <w:rsid w:val="00D56F05"/>
    <w:rsid w:val="00D600F7"/>
    <w:rsid w:val="00D61BB1"/>
    <w:rsid w:val="00D658F5"/>
    <w:rsid w:val="00D745EB"/>
    <w:rsid w:val="00D7526C"/>
    <w:rsid w:val="00D82553"/>
    <w:rsid w:val="00D82AE8"/>
    <w:rsid w:val="00D83C57"/>
    <w:rsid w:val="00D84607"/>
    <w:rsid w:val="00D85550"/>
    <w:rsid w:val="00D85D93"/>
    <w:rsid w:val="00D911B7"/>
    <w:rsid w:val="00D91654"/>
    <w:rsid w:val="00D97979"/>
    <w:rsid w:val="00DA0F56"/>
    <w:rsid w:val="00DA5823"/>
    <w:rsid w:val="00DA797E"/>
    <w:rsid w:val="00DB2346"/>
    <w:rsid w:val="00DB3BFB"/>
    <w:rsid w:val="00DB3FB5"/>
    <w:rsid w:val="00DB48C3"/>
    <w:rsid w:val="00DB4AF3"/>
    <w:rsid w:val="00DC2EDF"/>
    <w:rsid w:val="00DC40B8"/>
    <w:rsid w:val="00DC45AC"/>
    <w:rsid w:val="00DD0315"/>
    <w:rsid w:val="00DD0E81"/>
    <w:rsid w:val="00DD1987"/>
    <w:rsid w:val="00DD1A6C"/>
    <w:rsid w:val="00DD2B35"/>
    <w:rsid w:val="00DD4212"/>
    <w:rsid w:val="00DD6004"/>
    <w:rsid w:val="00DD763A"/>
    <w:rsid w:val="00DE044F"/>
    <w:rsid w:val="00DE0C86"/>
    <w:rsid w:val="00DE0E51"/>
    <w:rsid w:val="00DE5562"/>
    <w:rsid w:val="00DE58C2"/>
    <w:rsid w:val="00DE64FA"/>
    <w:rsid w:val="00DE7DB7"/>
    <w:rsid w:val="00DF1D47"/>
    <w:rsid w:val="00DF3B12"/>
    <w:rsid w:val="00DF5322"/>
    <w:rsid w:val="00DF65B5"/>
    <w:rsid w:val="00E00793"/>
    <w:rsid w:val="00E00D9E"/>
    <w:rsid w:val="00E01DFF"/>
    <w:rsid w:val="00E03D0A"/>
    <w:rsid w:val="00E03D28"/>
    <w:rsid w:val="00E07FEA"/>
    <w:rsid w:val="00E144DD"/>
    <w:rsid w:val="00E2495E"/>
    <w:rsid w:val="00E24A6E"/>
    <w:rsid w:val="00E276EA"/>
    <w:rsid w:val="00E30919"/>
    <w:rsid w:val="00E41216"/>
    <w:rsid w:val="00E416E2"/>
    <w:rsid w:val="00E45F7C"/>
    <w:rsid w:val="00E46DFD"/>
    <w:rsid w:val="00E47BED"/>
    <w:rsid w:val="00E504FA"/>
    <w:rsid w:val="00E50541"/>
    <w:rsid w:val="00E51A00"/>
    <w:rsid w:val="00E52ADF"/>
    <w:rsid w:val="00E53A6F"/>
    <w:rsid w:val="00E54240"/>
    <w:rsid w:val="00E55A37"/>
    <w:rsid w:val="00E56E14"/>
    <w:rsid w:val="00E56FB3"/>
    <w:rsid w:val="00E5763E"/>
    <w:rsid w:val="00E60E59"/>
    <w:rsid w:val="00E66CA5"/>
    <w:rsid w:val="00E734FD"/>
    <w:rsid w:val="00E73B20"/>
    <w:rsid w:val="00E80171"/>
    <w:rsid w:val="00E81A32"/>
    <w:rsid w:val="00E81D2A"/>
    <w:rsid w:val="00E84219"/>
    <w:rsid w:val="00E85ABB"/>
    <w:rsid w:val="00E85C71"/>
    <w:rsid w:val="00E87E38"/>
    <w:rsid w:val="00E90ED5"/>
    <w:rsid w:val="00E90FC6"/>
    <w:rsid w:val="00E9554A"/>
    <w:rsid w:val="00EA02B1"/>
    <w:rsid w:val="00EA0785"/>
    <w:rsid w:val="00EA08A5"/>
    <w:rsid w:val="00EA381D"/>
    <w:rsid w:val="00EA46E7"/>
    <w:rsid w:val="00EA4E05"/>
    <w:rsid w:val="00EA5229"/>
    <w:rsid w:val="00EA6217"/>
    <w:rsid w:val="00EB668D"/>
    <w:rsid w:val="00EB67AA"/>
    <w:rsid w:val="00EB6979"/>
    <w:rsid w:val="00EB7356"/>
    <w:rsid w:val="00EB7414"/>
    <w:rsid w:val="00EC02E6"/>
    <w:rsid w:val="00EC21C0"/>
    <w:rsid w:val="00EC646A"/>
    <w:rsid w:val="00ED1D0C"/>
    <w:rsid w:val="00ED3855"/>
    <w:rsid w:val="00ED3ACA"/>
    <w:rsid w:val="00ED43A6"/>
    <w:rsid w:val="00ED5B21"/>
    <w:rsid w:val="00ED77B0"/>
    <w:rsid w:val="00EE4108"/>
    <w:rsid w:val="00EE65AC"/>
    <w:rsid w:val="00F001F4"/>
    <w:rsid w:val="00F00CCE"/>
    <w:rsid w:val="00F00EEE"/>
    <w:rsid w:val="00F01AFF"/>
    <w:rsid w:val="00F01E5C"/>
    <w:rsid w:val="00F040C7"/>
    <w:rsid w:val="00F043D8"/>
    <w:rsid w:val="00F12E98"/>
    <w:rsid w:val="00F1381D"/>
    <w:rsid w:val="00F140F0"/>
    <w:rsid w:val="00F15CBB"/>
    <w:rsid w:val="00F1627F"/>
    <w:rsid w:val="00F165E0"/>
    <w:rsid w:val="00F17C69"/>
    <w:rsid w:val="00F202C0"/>
    <w:rsid w:val="00F23637"/>
    <w:rsid w:val="00F24BE7"/>
    <w:rsid w:val="00F25D6C"/>
    <w:rsid w:val="00F26036"/>
    <w:rsid w:val="00F35889"/>
    <w:rsid w:val="00F36238"/>
    <w:rsid w:val="00F406D8"/>
    <w:rsid w:val="00F442FE"/>
    <w:rsid w:val="00F462F6"/>
    <w:rsid w:val="00F51305"/>
    <w:rsid w:val="00F53F1E"/>
    <w:rsid w:val="00F55BB9"/>
    <w:rsid w:val="00F561D8"/>
    <w:rsid w:val="00F63EBB"/>
    <w:rsid w:val="00F72862"/>
    <w:rsid w:val="00F82B41"/>
    <w:rsid w:val="00F82B4E"/>
    <w:rsid w:val="00F83156"/>
    <w:rsid w:val="00F8393E"/>
    <w:rsid w:val="00F84F5F"/>
    <w:rsid w:val="00F864B4"/>
    <w:rsid w:val="00F86C2C"/>
    <w:rsid w:val="00F87068"/>
    <w:rsid w:val="00F872F8"/>
    <w:rsid w:val="00F91ACF"/>
    <w:rsid w:val="00F91D71"/>
    <w:rsid w:val="00F940DA"/>
    <w:rsid w:val="00FA1F58"/>
    <w:rsid w:val="00FA5832"/>
    <w:rsid w:val="00FA64FF"/>
    <w:rsid w:val="00FB01F0"/>
    <w:rsid w:val="00FB0716"/>
    <w:rsid w:val="00FB202C"/>
    <w:rsid w:val="00FB4A3F"/>
    <w:rsid w:val="00FB5C29"/>
    <w:rsid w:val="00FB5F63"/>
    <w:rsid w:val="00FC2983"/>
    <w:rsid w:val="00FD3B8B"/>
    <w:rsid w:val="00FD635E"/>
    <w:rsid w:val="00FE329C"/>
    <w:rsid w:val="00FE5DA5"/>
    <w:rsid w:val="00FF11F8"/>
    <w:rsid w:val="00FF2479"/>
    <w:rsid w:val="00FF4181"/>
    <w:rsid w:val="00FF64CB"/>
    <w:rsid w:val="00FF64FC"/>
    <w:rsid w:val="0779A55A"/>
    <w:rsid w:val="081C9BFF"/>
    <w:rsid w:val="087F4991"/>
    <w:rsid w:val="1054FCA2"/>
    <w:rsid w:val="1088E27D"/>
    <w:rsid w:val="158D4E79"/>
    <w:rsid w:val="176C3DC4"/>
    <w:rsid w:val="1BF367A6"/>
    <w:rsid w:val="1D3F207C"/>
    <w:rsid w:val="26A7AE4A"/>
    <w:rsid w:val="2C63B676"/>
    <w:rsid w:val="2F5B436B"/>
    <w:rsid w:val="316237F1"/>
    <w:rsid w:val="32303576"/>
    <w:rsid w:val="37604ACE"/>
    <w:rsid w:val="397439F3"/>
    <w:rsid w:val="3D531795"/>
    <w:rsid w:val="3E0905AF"/>
    <w:rsid w:val="3E37A2A0"/>
    <w:rsid w:val="3F06A049"/>
    <w:rsid w:val="46C0AA85"/>
    <w:rsid w:val="4AC9586A"/>
    <w:rsid w:val="4C85C7AD"/>
    <w:rsid w:val="4F3F89AF"/>
    <w:rsid w:val="51CF4B46"/>
    <w:rsid w:val="52C39BA1"/>
    <w:rsid w:val="5740C5A0"/>
    <w:rsid w:val="591951B7"/>
    <w:rsid w:val="5F222995"/>
    <w:rsid w:val="5F88CCD3"/>
    <w:rsid w:val="64C87F56"/>
    <w:rsid w:val="66194E93"/>
    <w:rsid w:val="688499C8"/>
    <w:rsid w:val="6C8A7088"/>
    <w:rsid w:val="7085E23B"/>
    <w:rsid w:val="72308DC1"/>
    <w:rsid w:val="74B10F84"/>
    <w:rsid w:val="74B8E0DC"/>
    <w:rsid w:val="7519C9B6"/>
    <w:rsid w:val="7C633C7E"/>
    <w:rsid w:val="7CF7EB2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993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B4D"/>
    <w:pPr>
      <w:spacing w:before="120" w:after="120" w:line="240" w:lineRule="auto"/>
    </w:pPr>
    <w:rPr>
      <w:kern w:val="16"/>
      <w:sz w:val="24"/>
      <w14:ligatures w14:val="none"/>
    </w:rPr>
  </w:style>
  <w:style w:type="paragraph" w:styleId="Heading1">
    <w:name w:val="heading 1"/>
    <w:basedOn w:val="Normal"/>
    <w:next w:val="Normal"/>
    <w:link w:val="Heading1Char"/>
    <w:uiPriority w:val="9"/>
    <w:qFormat/>
    <w:rsid w:val="004D08DF"/>
    <w:pPr>
      <w:keepNext/>
      <w:keepLines/>
      <w:spacing w:before="840"/>
      <w:contextualSpacing/>
      <w:outlineLvl w:val="0"/>
    </w:pPr>
    <w:rPr>
      <w:rFonts w:eastAsiaTheme="majorEastAsia" w:cstheme="majorBidi"/>
      <w:b/>
      <w:bCs/>
      <w:color w:val="FFFFFF" w:themeColor="background1"/>
      <w:sz w:val="76"/>
      <w:szCs w:val="32"/>
    </w:rPr>
  </w:style>
  <w:style w:type="paragraph" w:styleId="Heading2">
    <w:name w:val="heading 2"/>
    <w:basedOn w:val="Normal"/>
    <w:next w:val="Normal"/>
    <w:link w:val="Heading2Char"/>
    <w:uiPriority w:val="9"/>
    <w:unhideWhenUsed/>
    <w:qFormat/>
    <w:rsid w:val="004D08DF"/>
    <w:pPr>
      <w:keepNext/>
      <w:keepLines/>
      <w:spacing w:before="360" w:after="240"/>
      <w:outlineLvl w:val="1"/>
    </w:pPr>
    <w:rPr>
      <w:rFonts w:asciiTheme="majorHAnsi" w:eastAsiaTheme="majorEastAsia" w:hAnsiTheme="majorHAnsi" w:cstheme="majorBidi"/>
      <w:color w:val="00294E" w:themeColor="text2"/>
      <w:sz w:val="52"/>
      <w:szCs w:val="48"/>
    </w:rPr>
  </w:style>
  <w:style w:type="paragraph" w:styleId="Heading3">
    <w:name w:val="heading 3"/>
    <w:basedOn w:val="Normal"/>
    <w:next w:val="Normal"/>
    <w:link w:val="Heading3Char"/>
    <w:uiPriority w:val="9"/>
    <w:unhideWhenUsed/>
    <w:qFormat/>
    <w:rsid w:val="004D08DF"/>
    <w:pPr>
      <w:keepNext/>
      <w:keepLines/>
      <w:spacing w:before="360" w:after="240"/>
      <w:outlineLvl w:val="2"/>
    </w:pPr>
    <w:rPr>
      <w:rFonts w:asciiTheme="majorHAnsi" w:eastAsiaTheme="majorEastAsia" w:hAnsiTheme="majorHAnsi" w:cstheme="majorBidi"/>
      <w:color w:val="00294E" w:themeColor="text2"/>
      <w:sz w:val="40"/>
      <w:szCs w:val="40"/>
    </w:rPr>
  </w:style>
  <w:style w:type="paragraph" w:styleId="Heading4">
    <w:name w:val="heading 4"/>
    <w:basedOn w:val="Normal"/>
    <w:next w:val="Normal"/>
    <w:link w:val="Heading4Char"/>
    <w:uiPriority w:val="9"/>
    <w:unhideWhenUsed/>
    <w:qFormat/>
    <w:rsid w:val="004D08DF"/>
    <w:pPr>
      <w:keepNext/>
      <w:keepLines/>
      <w:spacing w:before="240"/>
      <w:outlineLvl w:val="3"/>
    </w:pPr>
    <w:rPr>
      <w:rFonts w:asciiTheme="majorHAnsi" w:eastAsiaTheme="majorEastAsia" w:hAnsiTheme="majorHAnsi" w:cstheme="majorBidi"/>
      <w:iCs/>
      <w:color w:val="00294E" w:themeColor="text2"/>
      <w:sz w:val="32"/>
      <w:szCs w:val="28"/>
    </w:rPr>
  </w:style>
  <w:style w:type="paragraph" w:styleId="Heading5">
    <w:name w:val="heading 5"/>
    <w:basedOn w:val="Normal"/>
    <w:next w:val="Normal"/>
    <w:link w:val="Heading5Char"/>
    <w:uiPriority w:val="9"/>
    <w:unhideWhenUsed/>
    <w:qFormat/>
    <w:rsid w:val="004D08DF"/>
    <w:pPr>
      <w:keepNext/>
      <w:keepLines/>
      <w:spacing w:before="240"/>
      <w:outlineLvl w:val="4"/>
    </w:pPr>
    <w:rPr>
      <w:rFonts w:asciiTheme="majorHAnsi" w:eastAsiaTheme="majorEastAsia" w:hAnsiTheme="majorHAnsi" w:cstheme="majorBidi"/>
      <w:color w:val="00294E" w:themeColor="text2"/>
      <w:sz w:val="28"/>
      <w:szCs w:val="26"/>
    </w:rPr>
  </w:style>
  <w:style w:type="paragraph" w:styleId="Heading6">
    <w:name w:val="heading 6"/>
    <w:basedOn w:val="Normal"/>
    <w:next w:val="Normal"/>
    <w:link w:val="Heading6Char"/>
    <w:uiPriority w:val="9"/>
    <w:unhideWhenUsed/>
    <w:qFormat/>
    <w:rsid w:val="004D08DF"/>
    <w:pPr>
      <w:keepNext/>
      <w:keepLines/>
      <w:spacing w:before="240"/>
      <w:outlineLvl w:val="5"/>
    </w:pPr>
    <w:rPr>
      <w:rFonts w:asciiTheme="majorHAnsi" w:eastAsiaTheme="majorEastAsia" w:hAnsiTheme="majorHAnsi" w:cstheme="majorBidi"/>
      <w:color w:val="00294E" w:themeColor="text2"/>
    </w:rPr>
  </w:style>
  <w:style w:type="paragraph" w:styleId="Heading7">
    <w:name w:val="heading 7"/>
    <w:basedOn w:val="Normal"/>
    <w:next w:val="Normal"/>
    <w:link w:val="Heading7Char"/>
    <w:uiPriority w:val="9"/>
    <w:unhideWhenUsed/>
    <w:qFormat/>
    <w:rsid w:val="004D08DF"/>
    <w:pPr>
      <w:keepNext/>
      <w:keepLines/>
      <w:spacing w:before="240"/>
      <w:outlineLvl w:val="6"/>
    </w:pPr>
    <w:rPr>
      <w:rFonts w:asciiTheme="majorHAnsi" w:eastAsiaTheme="majorEastAsia" w:hAnsiTheme="majorHAnsi" w:cstheme="majorBidi"/>
      <w:b/>
      <w:iCs/>
      <w:color w:val="00294E" w:themeColor="text2"/>
      <w:sz w:val="22"/>
    </w:rPr>
  </w:style>
  <w:style w:type="paragraph" w:styleId="Heading8">
    <w:name w:val="heading 8"/>
    <w:basedOn w:val="Normal"/>
    <w:next w:val="Normal"/>
    <w:link w:val="Heading8Char"/>
    <w:uiPriority w:val="9"/>
    <w:unhideWhenUsed/>
    <w:qFormat/>
    <w:rsid w:val="004D08DF"/>
    <w:pPr>
      <w:keepNext/>
      <w:keepLines/>
      <w:spacing w:before="2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D85D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8DF"/>
    <w:rPr>
      <w:rFonts w:eastAsiaTheme="majorEastAsia" w:cstheme="majorBidi"/>
      <w:b/>
      <w:bCs/>
      <w:color w:val="FFFFFF" w:themeColor="background1"/>
      <w:kern w:val="16"/>
      <w:sz w:val="76"/>
      <w:szCs w:val="32"/>
      <w14:ligatures w14:val="none"/>
    </w:rPr>
  </w:style>
  <w:style w:type="character" w:customStyle="1" w:styleId="Heading2Char">
    <w:name w:val="Heading 2 Char"/>
    <w:basedOn w:val="DefaultParagraphFont"/>
    <w:link w:val="Heading2"/>
    <w:uiPriority w:val="9"/>
    <w:rsid w:val="004D08DF"/>
    <w:rPr>
      <w:rFonts w:asciiTheme="majorHAnsi" w:eastAsiaTheme="majorEastAsia" w:hAnsiTheme="majorHAnsi" w:cstheme="majorBidi"/>
      <w:color w:val="00294E" w:themeColor="text2"/>
      <w:kern w:val="16"/>
      <w:sz w:val="52"/>
      <w:szCs w:val="48"/>
      <w14:ligatures w14:val="none"/>
    </w:rPr>
  </w:style>
  <w:style w:type="character" w:customStyle="1" w:styleId="Heading3Char">
    <w:name w:val="Heading 3 Char"/>
    <w:basedOn w:val="DefaultParagraphFont"/>
    <w:link w:val="Heading3"/>
    <w:uiPriority w:val="9"/>
    <w:rsid w:val="004D08DF"/>
    <w:rPr>
      <w:rFonts w:asciiTheme="majorHAnsi" w:eastAsiaTheme="majorEastAsia" w:hAnsiTheme="majorHAnsi" w:cstheme="majorBidi"/>
      <w:color w:val="00294E" w:themeColor="text2"/>
      <w:kern w:val="16"/>
      <w:sz w:val="40"/>
      <w:szCs w:val="40"/>
      <w14:ligatures w14:val="none"/>
    </w:rPr>
  </w:style>
  <w:style w:type="character" w:customStyle="1" w:styleId="Heading4Char">
    <w:name w:val="Heading 4 Char"/>
    <w:basedOn w:val="DefaultParagraphFont"/>
    <w:link w:val="Heading4"/>
    <w:uiPriority w:val="9"/>
    <w:rsid w:val="004D08DF"/>
    <w:rPr>
      <w:rFonts w:asciiTheme="majorHAnsi" w:eastAsiaTheme="majorEastAsia" w:hAnsiTheme="majorHAnsi" w:cstheme="majorBidi"/>
      <w:iCs/>
      <w:color w:val="00294E" w:themeColor="text2"/>
      <w:kern w:val="16"/>
      <w:sz w:val="32"/>
      <w:szCs w:val="28"/>
      <w14:ligatures w14:val="none"/>
    </w:rPr>
  </w:style>
  <w:style w:type="character" w:customStyle="1" w:styleId="Heading5Char">
    <w:name w:val="Heading 5 Char"/>
    <w:basedOn w:val="DefaultParagraphFont"/>
    <w:link w:val="Heading5"/>
    <w:uiPriority w:val="9"/>
    <w:rsid w:val="004D08DF"/>
    <w:rPr>
      <w:rFonts w:asciiTheme="majorHAnsi" w:eastAsiaTheme="majorEastAsia" w:hAnsiTheme="majorHAnsi" w:cstheme="majorBidi"/>
      <w:color w:val="00294E" w:themeColor="text2"/>
      <w:kern w:val="16"/>
      <w:sz w:val="28"/>
      <w:szCs w:val="26"/>
      <w14:ligatures w14:val="none"/>
    </w:rPr>
  </w:style>
  <w:style w:type="character" w:customStyle="1" w:styleId="Heading6Char">
    <w:name w:val="Heading 6 Char"/>
    <w:basedOn w:val="DefaultParagraphFont"/>
    <w:link w:val="Heading6"/>
    <w:uiPriority w:val="9"/>
    <w:rsid w:val="004D08DF"/>
    <w:rPr>
      <w:rFonts w:asciiTheme="majorHAnsi" w:eastAsiaTheme="majorEastAsia" w:hAnsiTheme="majorHAnsi" w:cstheme="majorBidi"/>
      <w:color w:val="00294E" w:themeColor="text2"/>
      <w:kern w:val="16"/>
      <w:sz w:val="24"/>
      <w14:ligatures w14:val="none"/>
    </w:rPr>
  </w:style>
  <w:style w:type="character" w:customStyle="1" w:styleId="Heading7Char">
    <w:name w:val="Heading 7 Char"/>
    <w:basedOn w:val="DefaultParagraphFont"/>
    <w:link w:val="Heading7"/>
    <w:uiPriority w:val="9"/>
    <w:rsid w:val="004D08DF"/>
    <w:rPr>
      <w:rFonts w:asciiTheme="majorHAnsi" w:eastAsiaTheme="majorEastAsia" w:hAnsiTheme="majorHAnsi" w:cstheme="majorBidi"/>
      <w:b/>
      <w:iCs/>
      <w:color w:val="00294E" w:themeColor="text2"/>
      <w:kern w:val="16"/>
      <w14:ligatures w14:val="none"/>
    </w:rPr>
  </w:style>
  <w:style w:type="character" w:customStyle="1" w:styleId="Heading8Char">
    <w:name w:val="Heading 8 Char"/>
    <w:basedOn w:val="DefaultParagraphFont"/>
    <w:link w:val="Heading8"/>
    <w:uiPriority w:val="9"/>
    <w:rsid w:val="004D08DF"/>
    <w:rPr>
      <w:rFonts w:asciiTheme="majorHAnsi" w:eastAsiaTheme="majorEastAsia" w:hAnsiTheme="majorHAnsi" w:cstheme="majorBidi"/>
      <w:color w:val="272727" w:themeColor="text1" w:themeTint="D8"/>
      <w:kern w:val="16"/>
      <w:sz w:val="24"/>
      <w:szCs w:val="21"/>
      <w14:ligatures w14:val="none"/>
    </w:rPr>
  </w:style>
  <w:style w:type="character" w:customStyle="1" w:styleId="Heading9Char">
    <w:name w:val="Heading 9 Char"/>
    <w:basedOn w:val="DefaultParagraphFont"/>
    <w:link w:val="Heading9"/>
    <w:uiPriority w:val="9"/>
    <w:rsid w:val="00D85D93"/>
    <w:rPr>
      <w:rFonts w:eastAsiaTheme="majorEastAsia" w:cstheme="majorBidi"/>
      <w:color w:val="272727" w:themeColor="text1" w:themeTint="D8"/>
      <w:kern w:val="0"/>
      <w:sz w:val="20"/>
      <w14:ligatures w14:val="none"/>
    </w:rPr>
  </w:style>
  <w:style w:type="paragraph" w:styleId="Title">
    <w:name w:val="Title"/>
    <w:basedOn w:val="Normal"/>
    <w:next w:val="Normal"/>
    <w:link w:val="TitleChar"/>
    <w:uiPriority w:val="10"/>
    <w:qFormat/>
    <w:rsid w:val="004D08DF"/>
    <w:pPr>
      <w:contextualSpacing/>
      <w:outlineLvl w:val="0"/>
    </w:pPr>
    <w:rPr>
      <w:rFonts w:asciiTheme="majorHAnsi" w:eastAsiaTheme="majorEastAsia" w:hAnsiTheme="majorHAnsi" w:cstheme="majorBidi"/>
      <w:color w:val="00294E" w:themeColor="text2"/>
      <w:spacing w:val="-10"/>
      <w:kern w:val="28"/>
      <w:sz w:val="72"/>
      <w:szCs w:val="72"/>
    </w:rPr>
  </w:style>
  <w:style w:type="character" w:customStyle="1" w:styleId="TitleChar">
    <w:name w:val="Title Char"/>
    <w:basedOn w:val="DefaultParagraphFont"/>
    <w:link w:val="Title"/>
    <w:uiPriority w:val="10"/>
    <w:rsid w:val="004D08DF"/>
    <w:rPr>
      <w:rFonts w:asciiTheme="majorHAnsi" w:eastAsiaTheme="majorEastAsia" w:hAnsiTheme="majorHAnsi" w:cstheme="majorBidi"/>
      <w:color w:val="00294E" w:themeColor="text2"/>
      <w:spacing w:val="-10"/>
      <w:kern w:val="28"/>
      <w:sz w:val="72"/>
      <w:szCs w:val="72"/>
      <w14:ligatures w14:val="none"/>
    </w:rPr>
  </w:style>
  <w:style w:type="paragraph" w:styleId="Subtitle">
    <w:name w:val="Subtitle"/>
    <w:basedOn w:val="Normal"/>
    <w:next w:val="Normal"/>
    <w:link w:val="SubtitleChar"/>
    <w:uiPriority w:val="11"/>
    <w:qFormat/>
    <w:rsid w:val="004D08DF"/>
    <w:pPr>
      <w:numPr>
        <w:ilvl w:val="1"/>
      </w:numPr>
      <w:spacing w:before="360" w:after="360"/>
    </w:pPr>
    <w:rPr>
      <w:rFonts w:eastAsiaTheme="minorEastAsia"/>
      <w:color w:val="95C423" w:themeColor="accent2"/>
      <w:sz w:val="60"/>
    </w:rPr>
  </w:style>
  <w:style w:type="character" w:customStyle="1" w:styleId="SubtitleChar">
    <w:name w:val="Subtitle Char"/>
    <w:basedOn w:val="DefaultParagraphFont"/>
    <w:link w:val="Subtitle"/>
    <w:uiPriority w:val="11"/>
    <w:rsid w:val="004D08DF"/>
    <w:rPr>
      <w:rFonts w:eastAsiaTheme="minorEastAsia"/>
      <w:color w:val="95C423" w:themeColor="accent2"/>
      <w:kern w:val="16"/>
      <w:sz w:val="60"/>
      <w14:ligatures w14:val="none"/>
    </w:rPr>
  </w:style>
  <w:style w:type="paragraph" w:styleId="Quote">
    <w:name w:val="Quote"/>
    <w:basedOn w:val="Normal"/>
    <w:next w:val="Normal"/>
    <w:link w:val="QuoteChar"/>
    <w:uiPriority w:val="29"/>
    <w:qFormat/>
    <w:rsid w:val="004D08DF"/>
    <w:pPr>
      <w:pBdr>
        <w:top w:val="single" w:sz="4" w:space="6" w:color="95C423" w:themeColor="accent2"/>
        <w:bottom w:val="single" w:sz="4" w:space="6" w:color="95C423" w:themeColor="accent2"/>
      </w:pBdr>
      <w:spacing w:before="240" w:after="240"/>
      <w:ind w:right="1701"/>
    </w:pPr>
    <w:rPr>
      <w:iCs/>
      <w:color w:val="00294E" w:themeColor="text2"/>
      <w:szCs w:val="24"/>
    </w:rPr>
  </w:style>
  <w:style w:type="character" w:customStyle="1" w:styleId="QuoteChar">
    <w:name w:val="Quote Char"/>
    <w:basedOn w:val="DefaultParagraphFont"/>
    <w:link w:val="Quote"/>
    <w:uiPriority w:val="29"/>
    <w:rsid w:val="004D08DF"/>
    <w:rPr>
      <w:iCs/>
      <w:color w:val="00294E" w:themeColor="text2"/>
      <w:kern w:val="16"/>
      <w:sz w:val="24"/>
      <w:szCs w:val="24"/>
      <w14:ligatures w14:val="none"/>
    </w:rPr>
  </w:style>
  <w:style w:type="paragraph" w:styleId="ListParagraph">
    <w:name w:val="List Paragraph"/>
    <w:basedOn w:val="Normal"/>
    <w:uiPriority w:val="34"/>
    <w:qFormat/>
    <w:rsid w:val="004D08DF"/>
    <w:pPr>
      <w:numPr>
        <w:numId w:val="11"/>
      </w:numPr>
      <w:spacing w:before="0"/>
    </w:pPr>
  </w:style>
  <w:style w:type="character" w:styleId="IntenseEmphasis">
    <w:name w:val="Intense Emphasis"/>
    <w:basedOn w:val="DefaultParagraphFont"/>
    <w:uiPriority w:val="21"/>
    <w:qFormat/>
    <w:rsid w:val="004D08DF"/>
    <w:rPr>
      <w:i/>
      <w:iCs/>
      <w:color w:val="00294E" w:themeColor="text2"/>
    </w:rPr>
  </w:style>
  <w:style w:type="paragraph" w:styleId="IntenseQuote">
    <w:name w:val="Intense Quote"/>
    <w:basedOn w:val="Normal"/>
    <w:next w:val="Normal"/>
    <w:link w:val="IntenseQuoteChar"/>
    <w:uiPriority w:val="30"/>
    <w:qFormat/>
    <w:rsid w:val="004D08DF"/>
    <w:pPr>
      <w:pBdr>
        <w:top w:val="single" w:sz="4" w:space="6" w:color="95C423" w:themeColor="accent2"/>
        <w:bottom w:val="single" w:sz="4" w:space="6" w:color="95C423" w:themeColor="accent2"/>
      </w:pBdr>
      <w:spacing w:before="360" w:after="360"/>
      <w:ind w:right="1701"/>
    </w:pPr>
    <w:rPr>
      <w:iCs/>
      <w:color w:val="00294E" w:themeColor="text2"/>
      <w:sz w:val="28"/>
    </w:rPr>
  </w:style>
  <w:style w:type="character" w:customStyle="1" w:styleId="IntenseQuoteChar">
    <w:name w:val="Intense Quote Char"/>
    <w:basedOn w:val="DefaultParagraphFont"/>
    <w:link w:val="IntenseQuote"/>
    <w:uiPriority w:val="30"/>
    <w:rsid w:val="004D08DF"/>
    <w:rPr>
      <w:iCs/>
      <w:color w:val="00294E" w:themeColor="text2"/>
      <w:kern w:val="16"/>
      <w:sz w:val="28"/>
      <w14:ligatures w14:val="none"/>
    </w:rPr>
  </w:style>
  <w:style w:type="character" w:styleId="IntenseReference">
    <w:name w:val="Intense Reference"/>
    <w:basedOn w:val="DefaultParagraphFont"/>
    <w:uiPriority w:val="32"/>
    <w:qFormat/>
    <w:rsid w:val="004D08DF"/>
    <w:rPr>
      <w:b/>
      <w:bCs/>
      <w:smallCaps/>
      <w:color w:val="00294E" w:themeColor="text2"/>
      <w:spacing w:val="5"/>
    </w:rPr>
  </w:style>
  <w:style w:type="paragraph" w:styleId="Header">
    <w:name w:val="header"/>
    <w:basedOn w:val="Normal"/>
    <w:link w:val="HeaderChar"/>
    <w:uiPriority w:val="99"/>
    <w:unhideWhenUsed/>
    <w:rsid w:val="004D08DF"/>
    <w:pPr>
      <w:tabs>
        <w:tab w:val="center" w:pos="4513"/>
        <w:tab w:val="right" w:pos="9026"/>
      </w:tabs>
      <w:spacing w:after="0"/>
    </w:pPr>
    <w:rPr>
      <w:sz w:val="20"/>
    </w:rPr>
  </w:style>
  <w:style w:type="character" w:customStyle="1" w:styleId="HeaderChar">
    <w:name w:val="Header Char"/>
    <w:basedOn w:val="DefaultParagraphFont"/>
    <w:link w:val="Header"/>
    <w:uiPriority w:val="99"/>
    <w:rsid w:val="004D08DF"/>
    <w:rPr>
      <w:kern w:val="16"/>
      <w:sz w:val="20"/>
      <w14:ligatures w14:val="none"/>
    </w:rPr>
  </w:style>
  <w:style w:type="paragraph" w:styleId="Footer">
    <w:name w:val="footer"/>
    <w:basedOn w:val="Normal"/>
    <w:link w:val="FooterChar"/>
    <w:uiPriority w:val="99"/>
    <w:unhideWhenUsed/>
    <w:rsid w:val="004D08DF"/>
    <w:pPr>
      <w:tabs>
        <w:tab w:val="center" w:pos="4513"/>
        <w:tab w:val="right" w:pos="9026"/>
      </w:tabs>
      <w:spacing w:after="0"/>
    </w:pPr>
    <w:rPr>
      <w:color w:val="00294E" w:themeColor="text2"/>
      <w:sz w:val="20"/>
    </w:rPr>
  </w:style>
  <w:style w:type="character" w:customStyle="1" w:styleId="FooterChar">
    <w:name w:val="Footer Char"/>
    <w:basedOn w:val="DefaultParagraphFont"/>
    <w:link w:val="Footer"/>
    <w:uiPriority w:val="99"/>
    <w:rsid w:val="004D08DF"/>
    <w:rPr>
      <w:color w:val="00294E" w:themeColor="text2"/>
      <w:kern w:val="16"/>
      <w:sz w:val="20"/>
      <w14:ligatures w14:val="none"/>
    </w:rPr>
  </w:style>
  <w:style w:type="paragraph" w:styleId="ListBullet">
    <w:name w:val="List Bullet"/>
    <w:basedOn w:val="Normal"/>
    <w:uiPriority w:val="99"/>
    <w:unhideWhenUsed/>
    <w:rsid w:val="004D08DF"/>
    <w:pPr>
      <w:numPr>
        <w:numId w:val="7"/>
      </w:numPr>
      <w:ind w:left="567" w:hanging="567"/>
      <w:contextualSpacing/>
    </w:pPr>
  </w:style>
  <w:style w:type="table" w:styleId="TableGrid">
    <w:name w:val="Table Grid"/>
    <w:aliases w:val="DISR plain Table 1"/>
    <w:basedOn w:val="TableNormal"/>
    <w:uiPriority w:val="39"/>
    <w:rsid w:val="004D08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character" w:styleId="Strong">
    <w:name w:val="Strong"/>
    <w:basedOn w:val="DefaultParagraphFont"/>
    <w:uiPriority w:val="22"/>
    <w:qFormat/>
    <w:rsid w:val="004D08DF"/>
    <w:rPr>
      <w:b/>
      <w:bCs/>
    </w:rPr>
  </w:style>
  <w:style w:type="table" w:styleId="PlainTable4">
    <w:name w:val="Plain Table 4"/>
    <w:basedOn w:val="TableNormal"/>
    <w:uiPriority w:val="44"/>
    <w:rsid w:val="00D85D9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4D08DF"/>
    <w:pPr>
      <w:spacing w:after="0" w:line="240" w:lineRule="auto"/>
    </w:pPr>
    <w:rPr>
      <w:kern w:val="0"/>
      <w:sz w:val="20"/>
      <w14:ligatures w14:val="none"/>
    </w:rPr>
  </w:style>
  <w:style w:type="character" w:styleId="Hyperlink">
    <w:name w:val="Hyperlink"/>
    <w:basedOn w:val="DefaultParagraphFont"/>
    <w:uiPriority w:val="99"/>
    <w:unhideWhenUsed/>
    <w:rsid w:val="004D08DF"/>
    <w:rPr>
      <w:color w:val="377C0B" w:themeColor="accent1"/>
      <w:u w:val="single"/>
    </w:rPr>
  </w:style>
  <w:style w:type="character" w:styleId="UnresolvedMention">
    <w:name w:val="Unresolved Mention"/>
    <w:basedOn w:val="DefaultParagraphFont"/>
    <w:uiPriority w:val="99"/>
    <w:semiHidden/>
    <w:unhideWhenUsed/>
    <w:rsid w:val="004D08DF"/>
    <w:rPr>
      <w:color w:val="605E5C"/>
      <w:shd w:val="clear" w:color="auto" w:fill="E1DFDD"/>
    </w:rPr>
  </w:style>
  <w:style w:type="numbering" w:customStyle="1" w:styleId="NoList1">
    <w:name w:val="No List1"/>
    <w:next w:val="NoList"/>
    <w:uiPriority w:val="99"/>
    <w:semiHidden/>
    <w:unhideWhenUsed/>
    <w:rsid w:val="00CE6B92"/>
  </w:style>
  <w:style w:type="character" w:customStyle="1" w:styleId="FollowedHyperlink1">
    <w:name w:val="FollowedHyperlink1"/>
    <w:basedOn w:val="DefaultParagraphFont"/>
    <w:uiPriority w:val="99"/>
    <w:semiHidden/>
    <w:unhideWhenUsed/>
    <w:rsid w:val="00413B4D"/>
    <w:rPr>
      <w:color w:val="377C0B" w:themeColor="accent1"/>
      <w:u w:val="single"/>
    </w:rPr>
  </w:style>
  <w:style w:type="character" w:styleId="CommentReference">
    <w:name w:val="annotation reference"/>
    <w:basedOn w:val="DefaultParagraphFont"/>
    <w:uiPriority w:val="99"/>
    <w:semiHidden/>
    <w:unhideWhenUsed/>
    <w:rsid w:val="004D08DF"/>
    <w:rPr>
      <w:sz w:val="16"/>
      <w:szCs w:val="16"/>
    </w:rPr>
  </w:style>
  <w:style w:type="paragraph" w:styleId="CommentText">
    <w:name w:val="annotation text"/>
    <w:basedOn w:val="Normal"/>
    <w:link w:val="CommentTextChar"/>
    <w:uiPriority w:val="99"/>
    <w:unhideWhenUsed/>
    <w:rsid w:val="004D08DF"/>
    <w:rPr>
      <w:szCs w:val="20"/>
    </w:rPr>
  </w:style>
  <w:style w:type="character" w:customStyle="1" w:styleId="CommentTextChar">
    <w:name w:val="Comment Text Char"/>
    <w:basedOn w:val="DefaultParagraphFont"/>
    <w:link w:val="CommentText"/>
    <w:uiPriority w:val="99"/>
    <w:rsid w:val="004D08DF"/>
    <w:rPr>
      <w:kern w:val="16"/>
      <w:sz w:val="24"/>
      <w:szCs w:val="20"/>
      <w14:ligatures w14:val="none"/>
    </w:rPr>
  </w:style>
  <w:style w:type="paragraph" w:styleId="CommentSubject">
    <w:name w:val="annotation subject"/>
    <w:basedOn w:val="CommentText"/>
    <w:next w:val="CommentText"/>
    <w:link w:val="CommentSubjectChar"/>
    <w:uiPriority w:val="99"/>
    <w:semiHidden/>
    <w:unhideWhenUsed/>
    <w:rsid w:val="004D08DF"/>
    <w:rPr>
      <w:b/>
      <w:bCs/>
    </w:rPr>
  </w:style>
  <w:style w:type="character" w:customStyle="1" w:styleId="CommentSubjectChar">
    <w:name w:val="Comment Subject Char"/>
    <w:basedOn w:val="CommentTextChar"/>
    <w:link w:val="CommentSubject"/>
    <w:uiPriority w:val="99"/>
    <w:semiHidden/>
    <w:rsid w:val="004D08DF"/>
    <w:rPr>
      <w:b/>
      <w:bCs/>
      <w:kern w:val="16"/>
      <w:sz w:val="24"/>
      <w:szCs w:val="20"/>
      <w14:ligatures w14:val="none"/>
    </w:rPr>
  </w:style>
  <w:style w:type="paragraph" w:styleId="FootnoteText">
    <w:name w:val="footnote text"/>
    <w:basedOn w:val="Normal"/>
    <w:link w:val="FootnoteTextChar"/>
    <w:uiPriority w:val="99"/>
    <w:semiHidden/>
    <w:unhideWhenUsed/>
    <w:rsid w:val="004D08DF"/>
    <w:pPr>
      <w:spacing w:after="0"/>
    </w:pPr>
    <w:rPr>
      <w:sz w:val="20"/>
      <w:szCs w:val="20"/>
    </w:rPr>
  </w:style>
  <w:style w:type="character" w:customStyle="1" w:styleId="FootnoteTextChar">
    <w:name w:val="Footnote Text Char"/>
    <w:basedOn w:val="DefaultParagraphFont"/>
    <w:link w:val="FootnoteText"/>
    <w:uiPriority w:val="99"/>
    <w:semiHidden/>
    <w:rsid w:val="004D08DF"/>
    <w:rPr>
      <w:kern w:val="16"/>
      <w:sz w:val="20"/>
      <w:szCs w:val="20"/>
      <w14:ligatures w14:val="none"/>
    </w:rPr>
  </w:style>
  <w:style w:type="character" w:styleId="FootnoteReference">
    <w:name w:val="footnote reference"/>
    <w:basedOn w:val="DefaultParagraphFont"/>
    <w:uiPriority w:val="99"/>
    <w:semiHidden/>
    <w:unhideWhenUsed/>
    <w:rsid w:val="00D85D93"/>
    <w:rPr>
      <w:vertAlign w:val="superscript"/>
    </w:rPr>
  </w:style>
  <w:style w:type="paragraph" w:styleId="EndnoteText">
    <w:name w:val="endnote text"/>
    <w:basedOn w:val="Normal"/>
    <w:link w:val="EndnoteTextChar"/>
    <w:uiPriority w:val="99"/>
    <w:unhideWhenUsed/>
    <w:rsid w:val="00CE6B92"/>
    <w:pPr>
      <w:spacing w:after="0"/>
    </w:pPr>
    <w:rPr>
      <w:rFonts w:ascii="Arial" w:eastAsia="Arial" w:hAnsi="Arial" w:cs="Cordia New"/>
      <w:szCs w:val="25"/>
      <w:lang w:val="en-GB" w:eastAsia="zh-CN" w:bidi="th-TH"/>
    </w:rPr>
  </w:style>
  <w:style w:type="character" w:customStyle="1" w:styleId="EndnoteTextChar">
    <w:name w:val="Endnote Text Char"/>
    <w:basedOn w:val="DefaultParagraphFont"/>
    <w:link w:val="EndnoteText"/>
    <w:uiPriority w:val="99"/>
    <w:rsid w:val="00CE6B92"/>
    <w:rPr>
      <w:rFonts w:ascii="Arial" w:eastAsia="Arial" w:hAnsi="Arial" w:cs="Cordia New"/>
      <w:kern w:val="0"/>
      <w:sz w:val="20"/>
      <w:szCs w:val="25"/>
      <w:lang w:val="en-GB" w:eastAsia="zh-CN" w:bidi="th-TH"/>
      <w14:ligatures w14:val="none"/>
    </w:rPr>
  </w:style>
  <w:style w:type="character" w:styleId="EndnoteReference">
    <w:name w:val="endnote reference"/>
    <w:basedOn w:val="DefaultParagraphFont"/>
    <w:uiPriority w:val="99"/>
    <w:semiHidden/>
    <w:unhideWhenUsed/>
    <w:rsid w:val="00CE6B92"/>
    <w:rPr>
      <w:vertAlign w:val="superscript"/>
    </w:rPr>
  </w:style>
  <w:style w:type="table" w:customStyle="1" w:styleId="TableGrid1">
    <w:name w:val="Table Grid1"/>
    <w:basedOn w:val="TableNormal"/>
    <w:next w:val="TableGrid"/>
    <w:uiPriority w:val="59"/>
    <w:rsid w:val="00CE6B92"/>
    <w:pPr>
      <w:spacing w:after="0" w:line="240" w:lineRule="auto"/>
    </w:pPr>
    <w:rPr>
      <w:rFonts w:ascii="Arial" w:eastAsia="Arial" w:hAnsi="Arial" w:cs="Arial"/>
      <w:kern w:val="0"/>
      <w:lang w:val="en-GB" w:eastAsia="zh-CN" w:bidi="th-TH"/>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413B4D"/>
    <w:rPr>
      <w:color w:val="377C0B" w:themeColor="accent1"/>
      <w:u w:val="single"/>
    </w:rPr>
  </w:style>
  <w:style w:type="paragraph" w:customStyle="1" w:styleId="Address">
    <w:name w:val="Address"/>
    <w:basedOn w:val="Subtitle"/>
    <w:qFormat/>
    <w:rsid w:val="004D08DF"/>
    <w:pPr>
      <w:spacing w:after="0"/>
    </w:pPr>
    <w:rPr>
      <w:sz w:val="24"/>
    </w:rPr>
  </w:style>
  <w:style w:type="paragraph" w:customStyle="1" w:styleId="Authoranddate">
    <w:name w:val="Author and date"/>
    <w:basedOn w:val="Subtitle"/>
    <w:link w:val="AuthoranddateChar"/>
    <w:qFormat/>
    <w:rsid w:val="004D08DF"/>
    <w:rPr>
      <w:szCs w:val="40"/>
    </w:rPr>
  </w:style>
  <w:style w:type="character" w:customStyle="1" w:styleId="AuthoranddateChar">
    <w:name w:val="Author and date Char"/>
    <w:basedOn w:val="SubtitleChar"/>
    <w:link w:val="Authoranddate"/>
    <w:rsid w:val="004D08DF"/>
    <w:rPr>
      <w:rFonts w:eastAsiaTheme="minorEastAsia"/>
      <w:color w:val="95C423" w:themeColor="accent2"/>
      <w:kern w:val="16"/>
      <w:sz w:val="60"/>
      <w:szCs w:val="40"/>
      <w14:ligatures w14:val="none"/>
    </w:rPr>
  </w:style>
  <w:style w:type="paragraph" w:styleId="BalloonText">
    <w:name w:val="Balloon Text"/>
    <w:basedOn w:val="Normal"/>
    <w:link w:val="BalloonTextChar"/>
    <w:uiPriority w:val="99"/>
    <w:semiHidden/>
    <w:unhideWhenUsed/>
    <w:rsid w:val="004D08D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8DF"/>
    <w:rPr>
      <w:rFonts w:ascii="Segoe UI" w:hAnsi="Segoe UI" w:cs="Segoe UI"/>
      <w:kern w:val="16"/>
      <w:sz w:val="18"/>
      <w:szCs w:val="18"/>
      <w14:ligatures w14:val="none"/>
    </w:rPr>
  </w:style>
  <w:style w:type="character" w:styleId="BookTitle">
    <w:name w:val="Book Title"/>
    <w:basedOn w:val="DefaultParagraphFont"/>
    <w:uiPriority w:val="33"/>
    <w:qFormat/>
    <w:rsid w:val="00D85D93"/>
    <w:rPr>
      <w:b/>
      <w:bCs/>
      <w:i/>
      <w:iCs/>
      <w:spacing w:val="5"/>
    </w:rPr>
  </w:style>
  <w:style w:type="paragraph" w:customStyle="1" w:styleId="Calloutbox">
    <w:name w:val="Call out box"/>
    <w:basedOn w:val="Normal"/>
    <w:qFormat/>
    <w:rsid w:val="004D08DF"/>
    <w:pPr>
      <w:keepLines/>
      <w:pBdr>
        <w:top w:val="single" w:sz="4" w:space="6" w:color="E7E6E6" w:themeColor="background2"/>
        <w:left w:val="single" w:sz="4" w:space="4" w:color="E7E6E6" w:themeColor="background2"/>
        <w:bottom w:val="single" w:sz="4" w:space="6" w:color="E7E6E6" w:themeColor="background2"/>
        <w:right w:val="single" w:sz="4" w:space="4" w:color="E7E6E6" w:themeColor="background2"/>
      </w:pBdr>
      <w:shd w:val="clear" w:color="auto" w:fill="E7E6E6" w:themeFill="background2"/>
    </w:pPr>
  </w:style>
  <w:style w:type="paragraph" w:styleId="Caption">
    <w:name w:val="caption"/>
    <w:basedOn w:val="Normal"/>
    <w:next w:val="Normal"/>
    <w:uiPriority w:val="35"/>
    <w:unhideWhenUsed/>
    <w:qFormat/>
    <w:rsid w:val="004D08DF"/>
    <w:pPr>
      <w:keepNext/>
      <w:spacing w:before="240"/>
    </w:pPr>
    <w:rPr>
      <w:b/>
      <w:iCs/>
      <w:szCs w:val="18"/>
    </w:rPr>
  </w:style>
  <w:style w:type="character" w:styleId="Emphasis">
    <w:name w:val="Emphasis"/>
    <w:basedOn w:val="DefaultParagraphFont"/>
    <w:uiPriority w:val="20"/>
    <w:qFormat/>
    <w:rsid w:val="004D08DF"/>
    <w:rPr>
      <w:i/>
      <w:iCs/>
    </w:rPr>
  </w:style>
  <w:style w:type="table" w:styleId="GridTable1Light">
    <w:name w:val="Grid Table 1 Light"/>
    <w:basedOn w:val="TableNormal"/>
    <w:uiPriority w:val="46"/>
    <w:rsid w:val="004D08DF"/>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D08DF"/>
    <w:pPr>
      <w:spacing w:after="0" w:line="240" w:lineRule="auto"/>
    </w:pPr>
    <w:rPr>
      <w:kern w:val="0"/>
      <w14:ligatures w14:val="none"/>
    </w:rPr>
    <w:tblPr>
      <w:tblStyleRowBandSize w:val="1"/>
      <w:tblStyleColBandSize w:val="1"/>
      <w:tblBorders>
        <w:top w:val="single" w:sz="4" w:space="0" w:color="D7EEA0" w:themeColor="accent2" w:themeTint="66"/>
        <w:left w:val="single" w:sz="4" w:space="0" w:color="D7EEA0" w:themeColor="accent2" w:themeTint="66"/>
        <w:bottom w:val="single" w:sz="4" w:space="0" w:color="D7EEA0" w:themeColor="accent2" w:themeTint="66"/>
        <w:right w:val="single" w:sz="4" w:space="0" w:color="D7EEA0" w:themeColor="accent2" w:themeTint="66"/>
        <w:insideH w:val="single" w:sz="4" w:space="0" w:color="D7EEA0" w:themeColor="accent2" w:themeTint="66"/>
        <w:insideV w:val="single" w:sz="4" w:space="0" w:color="D7EEA0" w:themeColor="accent2" w:themeTint="66"/>
      </w:tblBorders>
    </w:tblPr>
    <w:tblStylePr w:type="firstRow">
      <w:rPr>
        <w:b/>
        <w:bCs/>
      </w:rPr>
      <w:tblPr/>
      <w:tcPr>
        <w:tcBorders>
          <w:bottom w:val="single" w:sz="12" w:space="0" w:color="C3E570" w:themeColor="accent2" w:themeTint="99"/>
        </w:tcBorders>
      </w:tcPr>
    </w:tblStylePr>
    <w:tblStylePr w:type="lastRow">
      <w:rPr>
        <w:b/>
        <w:bCs/>
      </w:rPr>
      <w:tblPr/>
      <w:tcPr>
        <w:tcBorders>
          <w:top w:val="double" w:sz="2" w:space="0" w:color="C3E570" w:themeColor="accent2" w:themeTint="99"/>
        </w:tcBorders>
      </w:tcPr>
    </w:tblStylePr>
    <w:tblStylePr w:type="firstCol">
      <w:rPr>
        <w:b/>
        <w:bCs/>
      </w:rPr>
    </w:tblStylePr>
    <w:tblStylePr w:type="lastCol">
      <w:rPr>
        <w:b/>
        <w:bCs/>
      </w:rPr>
    </w:tblStylePr>
  </w:style>
  <w:style w:type="table" w:styleId="GridTable4">
    <w:name w:val="Grid Table 4"/>
    <w:basedOn w:val="TableNormal"/>
    <w:uiPriority w:val="49"/>
    <w:rsid w:val="004D08DF"/>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D08DF"/>
    <w:pPr>
      <w:spacing w:after="0" w:line="240" w:lineRule="auto"/>
    </w:pPr>
    <w:rPr>
      <w:kern w:val="0"/>
      <w14:ligatures w14:val="none"/>
    </w:rPr>
    <w:tblPr>
      <w:tblStyleRowBandSize w:val="1"/>
      <w:tblStyleColBandSize w:val="1"/>
      <w:tblBorders>
        <w:top w:val="single" w:sz="4" w:space="0" w:color="79EC30" w:themeColor="accent1" w:themeTint="99"/>
        <w:left w:val="single" w:sz="4" w:space="0" w:color="79EC30" w:themeColor="accent1" w:themeTint="99"/>
        <w:bottom w:val="single" w:sz="4" w:space="0" w:color="79EC30" w:themeColor="accent1" w:themeTint="99"/>
        <w:right w:val="single" w:sz="4" w:space="0" w:color="79EC30" w:themeColor="accent1" w:themeTint="99"/>
        <w:insideH w:val="single" w:sz="4" w:space="0" w:color="79EC30" w:themeColor="accent1" w:themeTint="99"/>
        <w:insideV w:val="single" w:sz="4" w:space="0" w:color="79EC30" w:themeColor="accent1" w:themeTint="99"/>
      </w:tblBorders>
    </w:tblPr>
    <w:tblStylePr w:type="firstRow">
      <w:rPr>
        <w:b/>
        <w:bCs/>
        <w:color w:val="FFFFFF" w:themeColor="background1"/>
      </w:rPr>
      <w:tblPr/>
      <w:tcPr>
        <w:shd w:val="clear" w:color="auto" w:fill="295C08" w:themeFill="accent1" w:themeFillShade="BF"/>
      </w:tcPr>
    </w:tblStylePr>
    <w:tblStylePr w:type="lastRow">
      <w:rPr>
        <w:b/>
        <w:bCs/>
      </w:rPr>
      <w:tblPr/>
      <w:tcPr>
        <w:tcBorders>
          <w:top w:val="double" w:sz="4" w:space="0" w:color="377C0B" w:themeColor="accent1"/>
        </w:tcBorders>
      </w:tcPr>
    </w:tblStylePr>
    <w:tblStylePr w:type="firstCol">
      <w:rPr>
        <w:b/>
        <w:bCs/>
      </w:rPr>
    </w:tblStylePr>
    <w:tblStylePr w:type="lastCol">
      <w:rPr>
        <w:b/>
        <w:bCs/>
      </w:rPr>
    </w:tblStylePr>
    <w:tblStylePr w:type="band1Vert">
      <w:tblPr/>
      <w:tcPr>
        <w:shd w:val="clear" w:color="auto" w:fill="D2F9BA" w:themeFill="accent1" w:themeFillTint="33"/>
      </w:tcPr>
    </w:tblStylePr>
    <w:tblStylePr w:type="band1Horz">
      <w:tblPr/>
      <w:tcPr>
        <w:shd w:val="clear" w:color="auto" w:fill="D2F9BA" w:themeFill="accent1" w:themeFillTint="33"/>
      </w:tcPr>
    </w:tblStylePr>
  </w:style>
  <w:style w:type="table" w:styleId="GridTable4-Accent2">
    <w:name w:val="Grid Table 4 Accent 2"/>
    <w:basedOn w:val="TableNormal"/>
    <w:uiPriority w:val="49"/>
    <w:rsid w:val="004D08DF"/>
    <w:pPr>
      <w:spacing w:after="0" w:line="240" w:lineRule="auto"/>
    </w:pPr>
    <w:rPr>
      <w:kern w:val="0"/>
      <w14:ligatures w14:val="none"/>
    </w:rPr>
    <w:tblPr>
      <w:tblStyleRowBandSize w:val="1"/>
      <w:tblStyleColBandSize w:val="1"/>
      <w:tblBorders>
        <w:top w:val="single" w:sz="4" w:space="0" w:color="C3E570" w:themeColor="accent2" w:themeTint="99"/>
        <w:left w:val="single" w:sz="4" w:space="0" w:color="C3E570" w:themeColor="accent2" w:themeTint="99"/>
        <w:bottom w:val="single" w:sz="4" w:space="0" w:color="C3E570" w:themeColor="accent2" w:themeTint="99"/>
        <w:right w:val="single" w:sz="4" w:space="0" w:color="C3E570" w:themeColor="accent2" w:themeTint="99"/>
        <w:insideH w:val="single" w:sz="4" w:space="0" w:color="C3E570" w:themeColor="accent2" w:themeTint="99"/>
        <w:insideV w:val="single" w:sz="4" w:space="0" w:color="C3E570" w:themeColor="accent2" w:themeTint="99"/>
      </w:tblBorders>
    </w:tblPr>
    <w:tblStylePr w:type="firstRow">
      <w:rPr>
        <w:b/>
        <w:bCs/>
        <w:color w:val="FFFFFF" w:themeColor="background1"/>
      </w:rPr>
      <w:tblPr/>
      <w:tcPr>
        <w:tcBorders>
          <w:top w:val="single" w:sz="4" w:space="0" w:color="95C423" w:themeColor="accent2"/>
          <w:left w:val="single" w:sz="4" w:space="0" w:color="95C423" w:themeColor="accent2"/>
          <w:bottom w:val="single" w:sz="4" w:space="0" w:color="95C423" w:themeColor="accent2"/>
          <w:right w:val="single" w:sz="4" w:space="0" w:color="95C423" w:themeColor="accent2"/>
          <w:insideH w:val="nil"/>
          <w:insideV w:val="nil"/>
        </w:tcBorders>
        <w:shd w:val="clear" w:color="auto" w:fill="95C423" w:themeFill="accent2"/>
      </w:tcPr>
    </w:tblStylePr>
    <w:tblStylePr w:type="lastRow">
      <w:rPr>
        <w:b/>
        <w:bCs/>
      </w:rPr>
      <w:tblPr/>
      <w:tcPr>
        <w:tcBorders>
          <w:top w:val="double" w:sz="4" w:space="0" w:color="95C423" w:themeColor="accent2"/>
        </w:tcBorders>
      </w:tcPr>
    </w:tblStylePr>
    <w:tblStylePr w:type="firstCol">
      <w:rPr>
        <w:b/>
        <w:bCs/>
      </w:rPr>
    </w:tblStylePr>
    <w:tblStylePr w:type="lastCol">
      <w:rPr>
        <w:b/>
        <w:bCs/>
      </w:rPr>
    </w:tblStylePr>
    <w:tblStylePr w:type="band1Vert">
      <w:tblPr/>
      <w:tcPr>
        <w:shd w:val="clear" w:color="auto" w:fill="EBF6CF" w:themeFill="accent2" w:themeFillTint="33"/>
      </w:tcPr>
    </w:tblStylePr>
    <w:tblStylePr w:type="band1Horz">
      <w:tblPr/>
      <w:tcPr>
        <w:shd w:val="clear" w:color="auto" w:fill="EBF6CF" w:themeFill="accent2" w:themeFillTint="33"/>
      </w:tcPr>
    </w:tblStylePr>
  </w:style>
  <w:style w:type="table" w:styleId="GridTable4-Accent3">
    <w:name w:val="Grid Table 4 Accent 3"/>
    <w:basedOn w:val="TableNormal"/>
    <w:uiPriority w:val="49"/>
    <w:rsid w:val="004D08DF"/>
    <w:pPr>
      <w:spacing w:after="0" w:line="240" w:lineRule="auto"/>
    </w:pPr>
    <w:rPr>
      <w:kern w:val="0"/>
      <w14:ligatures w14:val="none"/>
    </w:rPr>
    <w:tblPr>
      <w:tblStyleRowBandSize w:val="1"/>
      <w:tblStyleColBandSize w:val="1"/>
      <w:tblBorders>
        <w:top w:val="single" w:sz="4" w:space="0" w:color="4A96CF" w:themeColor="accent3" w:themeTint="99"/>
        <w:left w:val="single" w:sz="4" w:space="0" w:color="4A96CF" w:themeColor="accent3" w:themeTint="99"/>
        <w:bottom w:val="single" w:sz="4" w:space="0" w:color="4A96CF" w:themeColor="accent3" w:themeTint="99"/>
        <w:right w:val="single" w:sz="4" w:space="0" w:color="4A96CF" w:themeColor="accent3" w:themeTint="99"/>
        <w:insideH w:val="single" w:sz="4" w:space="0" w:color="4A96CF" w:themeColor="accent3" w:themeTint="99"/>
        <w:insideV w:val="single" w:sz="4" w:space="0" w:color="4A96CF" w:themeColor="accent3" w:themeTint="99"/>
      </w:tblBorders>
    </w:tblPr>
    <w:tblStylePr w:type="firstRow">
      <w:rPr>
        <w:b/>
        <w:bCs/>
        <w:color w:val="FFFFFF" w:themeColor="background1"/>
      </w:rPr>
      <w:tblPr/>
      <w:tcPr>
        <w:tcBorders>
          <w:top w:val="single" w:sz="4" w:space="0" w:color="1B4666" w:themeColor="accent3"/>
          <w:left w:val="single" w:sz="4" w:space="0" w:color="1B4666" w:themeColor="accent3"/>
          <w:bottom w:val="single" w:sz="4" w:space="0" w:color="1B4666" w:themeColor="accent3"/>
          <w:right w:val="single" w:sz="4" w:space="0" w:color="1B4666" w:themeColor="accent3"/>
          <w:insideH w:val="nil"/>
          <w:insideV w:val="nil"/>
        </w:tcBorders>
        <w:shd w:val="clear" w:color="auto" w:fill="1B4666" w:themeFill="accent3"/>
      </w:tcPr>
    </w:tblStylePr>
    <w:tblStylePr w:type="lastRow">
      <w:rPr>
        <w:b/>
        <w:bCs/>
      </w:rPr>
      <w:tblPr/>
      <w:tcPr>
        <w:tcBorders>
          <w:top w:val="double" w:sz="4" w:space="0" w:color="1B4666" w:themeColor="accent3"/>
        </w:tcBorders>
      </w:tcPr>
    </w:tblStylePr>
    <w:tblStylePr w:type="firstCol">
      <w:rPr>
        <w:b/>
        <w:bCs/>
      </w:rPr>
    </w:tblStylePr>
    <w:tblStylePr w:type="lastCol">
      <w:rPr>
        <w:b/>
        <w:bCs/>
      </w:rPr>
    </w:tblStylePr>
    <w:tblStylePr w:type="band1Vert">
      <w:tblPr/>
      <w:tcPr>
        <w:shd w:val="clear" w:color="auto" w:fill="C2DCEF" w:themeFill="accent3" w:themeFillTint="33"/>
      </w:tcPr>
    </w:tblStylePr>
    <w:tblStylePr w:type="band1Horz">
      <w:tblPr/>
      <w:tcPr>
        <w:shd w:val="clear" w:color="auto" w:fill="C2DCEF" w:themeFill="accent3" w:themeFillTint="33"/>
      </w:tcPr>
    </w:tblStylePr>
  </w:style>
  <w:style w:type="table" w:styleId="GridTable4-Accent4">
    <w:name w:val="Grid Table 4 Accent 4"/>
    <w:aliases w:val="DISR banded - Table 2"/>
    <w:basedOn w:val="TableNormal"/>
    <w:uiPriority w:val="49"/>
    <w:rsid w:val="004D08DF"/>
    <w:pPr>
      <w:spacing w:after="0" w:line="240" w:lineRule="auto"/>
    </w:pPr>
    <w:rPr>
      <w:kern w:val="0"/>
      <w14:ligatures w14:val="none"/>
    </w:rPr>
    <w:tblPr>
      <w:tblStyleRowBandSize w:val="1"/>
      <w:tblStyleColBandSize w:val="1"/>
      <w:tblBorders>
        <w:top w:val="single" w:sz="4" w:space="0" w:color="00294E" w:themeColor="text2"/>
        <w:left w:val="single" w:sz="4" w:space="0" w:color="00294E" w:themeColor="text2"/>
        <w:bottom w:val="single" w:sz="4" w:space="0" w:color="00294E" w:themeColor="text2"/>
        <w:right w:val="single" w:sz="4" w:space="0" w:color="00294E" w:themeColor="text2"/>
        <w:insideH w:val="single" w:sz="4" w:space="0" w:color="00294E" w:themeColor="text2"/>
        <w:insideV w:val="single" w:sz="4" w:space="0" w:color="00294E" w:themeColor="text2"/>
      </w:tblBorders>
    </w:tblPr>
    <w:tblStylePr w:type="firstRow">
      <w:rPr>
        <w:b/>
        <w:bCs/>
        <w:color w:val="FFFFFF" w:themeColor="background1"/>
      </w:rPr>
      <w:tblPr/>
      <w:tcPr>
        <w:shd w:val="clear" w:color="auto" w:fill="00294E" w:themeFill="text2"/>
      </w:tcPr>
    </w:tblStylePr>
    <w:tblStylePr w:type="lastRow">
      <w:rPr>
        <w:b/>
        <w:bCs/>
      </w:rPr>
      <w:tblPr/>
      <w:tcPr>
        <w:tcBorders>
          <w:top w:val="single" w:sz="18" w:space="0" w:color="58595B" w:themeColor="accent4"/>
        </w:tcBorders>
      </w:tcPr>
    </w:tblStylePr>
    <w:tblStylePr w:type="firstCol">
      <w:rPr>
        <w:b/>
        <w:bCs/>
      </w:rPr>
    </w:tblStylePr>
    <w:tblStylePr w:type="lastCol">
      <w:rPr>
        <w:b/>
        <w:bCs/>
      </w:rPr>
    </w:tblStylePr>
    <w:tblStylePr w:type="band1Vert">
      <w:tblPr/>
      <w:tcPr>
        <w:shd w:val="clear" w:color="auto" w:fill="DDDDDE" w:themeFill="accent4" w:themeFillTint="33"/>
      </w:tcPr>
    </w:tblStylePr>
    <w:tblStylePr w:type="band1Horz">
      <w:tblPr/>
      <w:tcPr>
        <w:shd w:val="clear" w:color="auto" w:fill="E7E6E6" w:themeFill="background2"/>
      </w:tcPr>
    </w:tblStylePr>
  </w:style>
  <w:style w:type="table" w:styleId="GridTable4-Accent5">
    <w:name w:val="Grid Table 4 Accent 5"/>
    <w:basedOn w:val="TableNormal"/>
    <w:uiPriority w:val="49"/>
    <w:rsid w:val="004D08DF"/>
    <w:pPr>
      <w:spacing w:after="0" w:line="240" w:lineRule="auto"/>
    </w:pPr>
    <w:rPr>
      <w:kern w:val="0"/>
      <w14:ligatures w14:val="none"/>
    </w:rPr>
    <w:tblPr>
      <w:tblStyleRowBandSize w:val="1"/>
      <w:tblStyleColBandSize w:val="1"/>
      <w:tblBorders>
        <w:top w:val="single" w:sz="4" w:space="0" w:color="B5C2CF" w:themeColor="accent5" w:themeTint="99"/>
        <w:left w:val="single" w:sz="4" w:space="0" w:color="B5C2CF" w:themeColor="accent5" w:themeTint="99"/>
        <w:bottom w:val="single" w:sz="4" w:space="0" w:color="B5C2CF" w:themeColor="accent5" w:themeTint="99"/>
        <w:right w:val="single" w:sz="4" w:space="0" w:color="B5C2CF" w:themeColor="accent5" w:themeTint="99"/>
        <w:insideH w:val="single" w:sz="4" w:space="0" w:color="B5C2CF" w:themeColor="accent5" w:themeTint="99"/>
        <w:insideV w:val="single" w:sz="4" w:space="0" w:color="B5C2CF" w:themeColor="accent5" w:themeTint="99"/>
      </w:tblBorders>
    </w:tblPr>
    <w:tblStylePr w:type="firstRow">
      <w:rPr>
        <w:b/>
        <w:bCs/>
        <w:color w:val="FFFFFF" w:themeColor="background1"/>
      </w:rPr>
      <w:tblPr/>
      <w:tcPr>
        <w:tcBorders>
          <w:top w:val="single" w:sz="4" w:space="0" w:color="859AAF" w:themeColor="accent5"/>
          <w:left w:val="single" w:sz="4" w:space="0" w:color="859AAF" w:themeColor="accent5"/>
          <w:bottom w:val="single" w:sz="4" w:space="0" w:color="859AAF" w:themeColor="accent5"/>
          <w:right w:val="single" w:sz="4" w:space="0" w:color="859AAF" w:themeColor="accent5"/>
          <w:insideH w:val="nil"/>
          <w:insideV w:val="nil"/>
        </w:tcBorders>
        <w:shd w:val="clear" w:color="auto" w:fill="859AAF" w:themeFill="accent5"/>
      </w:tcPr>
    </w:tblStylePr>
    <w:tblStylePr w:type="lastRow">
      <w:rPr>
        <w:b/>
        <w:bCs/>
      </w:rPr>
      <w:tblPr/>
      <w:tcPr>
        <w:tcBorders>
          <w:top w:val="double" w:sz="4" w:space="0" w:color="859AAF" w:themeColor="accent5"/>
        </w:tcBorders>
      </w:tcPr>
    </w:tblStylePr>
    <w:tblStylePr w:type="firstCol">
      <w:rPr>
        <w:b/>
        <w:bCs/>
      </w:rPr>
    </w:tblStylePr>
    <w:tblStylePr w:type="lastCol">
      <w:rPr>
        <w:b/>
        <w:bCs/>
      </w:rPr>
    </w:tblStylePr>
    <w:tblStylePr w:type="band1Vert">
      <w:tblPr/>
      <w:tcPr>
        <w:shd w:val="clear" w:color="auto" w:fill="E6EAEF" w:themeFill="accent5" w:themeFillTint="33"/>
      </w:tcPr>
    </w:tblStylePr>
    <w:tblStylePr w:type="band1Horz">
      <w:tblPr/>
      <w:tcPr>
        <w:shd w:val="clear" w:color="auto" w:fill="E6EAEF" w:themeFill="accent5" w:themeFillTint="33"/>
      </w:tcPr>
    </w:tblStylePr>
  </w:style>
  <w:style w:type="table" w:styleId="GridTable5Dark-Accent1">
    <w:name w:val="Grid Table 5 Dark Accent 1"/>
    <w:basedOn w:val="TableNormal"/>
    <w:uiPriority w:val="50"/>
    <w:rsid w:val="004D08DF"/>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F9B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77C0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77C0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77C0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77C0B" w:themeFill="accent1"/>
      </w:tcPr>
    </w:tblStylePr>
    <w:tblStylePr w:type="band1Vert">
      <w:tblPr/>
      <w:tcPr>
        <w:shd w:val="clear" w:color="auto" w:fill="A5F275" w:themeFill="accent1" w:themeFillTint="66"/>
      </w:tcPr>
    </w:tblStylePr>
    <w:tblStylePr w:type="band1Horz">
      <w:tblPr/>
      <w:tcPr>
        <w:shd w:val="clear" w:color="auto" w:fill="A5F275" w:themeFill="accent1" w:themeFillTint="66"/>
      </w:tcPr>
    </w:tblStylePr>
  </w:style>
  <w:style w:type="paragraph" w:styleId="ListBullet2">
    <w:name w:val="List Bullet 2"/>
    <w:basedOn w:val="Normal"/>
    <w:uiPriority w:val="99"/>
    <w:semiHidden/>
    <w:unhideWhenUsed/>
    <w:rsid w:val="004D08DF"/>
    <w:pPr>
      <w:numPr>
        <w:numId w:val="9"/>
      </w:numPr>
      <w:ind w:left="567" w:hanging="567"/>
      <w:contextualSpacing/>
    </w:pPr>
  </w:style>
  <w:style w:type="table" w:styleId="ListTable3-Accent2">
    <w:name w:val="List Table 3 Accent 2"/>
    <w:basedOn w:val="TableNormal"/>
    <w:uiPriority w:val="48"/>
    <w:rsid w:val="004D08DF"/>
    <w:pPr>
      <w:spacing w:after="0" w:line="240" w:lineRule="auto"/>
    </w:pPr>
    <w:rPr>
      <w:kern w:val="0"/>
      <w14:ligatures w14:val="none"/>
    </w:rPr>
    <w:tblPr>
      <w:tblStyleRowBandSize w:val="1"/>
      <w:tblStyleColBandSize w:val="1"/>
      <w:tblBorders>
        <w:top w:val="single" w:sz="4" w:space="0" w:color="95C423" w:themeColor="accent2"/>
        <w:left w:val="single" w:sz="4" w:space="0" w:color="95C423" w:themeColor="accent2"/>
        <w:bottom w:val="single" w:sz="4" w:space="0" w:color="95C423" w:themeColor="accent2"/>
        <w:right w:val="single" w:sz="4" w:space="0" w:color="95C423" w:themeColor="accent2"/>
      </w:tblBorders>
    </w:tblPr>
    <w:tblStylePr w:type="firstRow">
      <w:rPr>
        <w:b/>
        <w:bCs/>
        <w:color w:val="FFFFFF" w:themeColor="background1"/>
      </w:rPr>
      <w:tblPr/>
      <w:tcPr>
        <w:shd w:val="clear" w:color="auto" w:fill="95C423" w:themeFill="accent2"/>
      </w:tcPr>
    </w:tblStylePr>
    <w:tblStylePr w:type="lastRow">
      <w:rPr>
        <w:b/>
        <w:bCs/>
      </w:rPr>
      <w:tblPr/>
      <w:tcPr>
        <w:tcBorders>
          <w:top w:val="double" w:sz="4" w:space="0" w:color="95C42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5C423" w:themeColor="accent2"/>
          <w:right w:val="single" w:sz="4" w:space="0" w:color="95C423" w:themeColor="accent2"/>
        </w:tcBorders>
      </w:tcPr>
    </w:tblStylePr>
    <w:tblStylePr w:type="band1Horz">
      <w:tblPr/>
      <w:tcPr>
        <w:tcBorders>
          <w:top w:val="single" w:sz="4" w:space="0" w:color="95C423" w:themeColor="accent2"/>
          <w:bottom w:val="single" w:sz="4" w:space="0" w:color="95C42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5C423" w:themeColor="accent2"/>
          <w:left w:val="nil"/>
        </w:tcBorders>
      </w:tcPr>
    </w:tblStylePr>
    <w:tblStylePr w:type="swCell">
      <w:tblPr/>
      <w:tcPr>
        <w:tcBorders>
          <w:top w:val="double" w:sz="4" w:space="0" w:color="95C423" w:themeColor="accent2"/>
          <w:right w:val="nil"/>
        </w:tcBorders>
      </w:tcPr>
    </w:tblStylePr>
  </w:style>
  <w:style w:type="table" w:styleId="ListTable3-Accent3">
    <w:name w:val="List Table 3 Accent 3"/>
    <w:basedOn w:val="TableNormal"/>
    <w:uiPriority w:val="48"/>
    <w:rsid w:val="004D08DF"/>
    <w:pPr>
      <w:spacing w:after="0" w:line="240" w:lineRule="auto"/>
    </w:pPr>
    <w:rPr>
      <w:kern w:val="0"/>
      <w14:ligatures w14:val="none"/>
    </w:rPr>
    <w:tblPr>
      <w:tblStyleRowBandSize w:val="1"/>
      <w:tblStyleColBandSize w:val="1"/>
      <w:tblBorders>
        <w:top w:val="single" w:sz="4" w:space="0" w:color="1B4666" w:themeColor="accent3"/>
        <w:left w:val="single" w:sz="4" w:space="0" w:color="1B4666" w:themeColor="accent3"/>
        <w:bottom w:val="single" w:sz="4" w:space="0" w:color="1B4666" w:themeColor="accent3"/>
        <w:right w:val="single" w:sz="4" w:space="0" w:color="1B4666" w:themeColor="accent3"/>
      </w:tblBorders>
    </w:tblPr>
    <w:trPr>
      <w:cantSplit/>
    </w:trPr>
    <w:tblStylePr w:type="firstRow">
      <w:rPr>
        <w:b/>
        <w:bCs/>
        <w:color w:val="FFFFFF" w:themeColor="background1"/>
      </w:rPr>
      <w:tblPr/>
      <w:trPr>
        <w:cantSplit/>
        <w:tblHeader/>
      </w:trPr>
      <w:tcPr>
        <w:shd w:val="clear" w:color="auto" w:fill="1B4666" w:themeFill="accent3"/>
      </w:tcPr>
    </w:tblStylePr>
    <w:tblStylePr w:type="lastRow">
      <w:rPr>
        <w:b/>
        <w:bCs/>
      </w:rPr>
      <w:tblPr/>
      <w:tcPr>
        <w:tcBorders>
          <w:top w:val="double" w:sz="4" w:space="0" w:color="1B466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B4666" w:themeColor="accent3"/>
          <w:right w:val="single" w:sz="4" w:space="0" w:color="1B4666" w:themeColor="accent3"/>
        </w:tcBorders>
      </w:tcPr>
    </w:tblStylePr>
    <w:tblStylePr w:type="band1Horz">
      <w:tblPr/>
      <w:tcPr>
        <w:tcBorders>
          <w:top w:val="single" w:sz="4" w:space="0" w:color="1B4666" w:themeColor="accent3"/>
          <w:bottom w:val="single" w:sz="4" w:space="0" w:color="1B466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4666" w:themeColor="accent3"/>
          <w:left w:val="nil"/>
        </w:tcBorders>
      </w:tcPr>
    </w:tblStylePr>
    <w:tblStylePr w:type="swCell">
      <w:tblPr/>
      <w:tcPr>
        <w:tcBorders>
          <w:top w:val="double" w:sz="4" w:space="0" w:color="1B4666" w:themeColor="accent3"/>
          <w:right w:val="nil"/>
        </w:tcBorders>
      </w:tcPr>
    </w:tblStylePr>
  </w:style>
  <w:style w:type="table" w:styleId="ListTable3-Accent4">
    <w:name w:val="List Table 3 Accent 4"/>
    <w:basedOn w:val="TableNormal"/>
    <w:uiPriority w:val="48"/>
    <w:rsid w:val="004D08DF"/>
    <w:pPr>
      <w:spacing w:after="0" w:line="240" w:lineRule="auto"/>
    </w:pPr>
    <w:rPr>
      <w:kern w:val="0"/>
      <w14:ligatures w14:val="none"/>
    </w:rPr>
    <w:tblPr>
      <w:tblStyleRowBandSize w:val="1"/>
      <w:tblStyleColBandSize w:val="1"/>
      <w:tblBorders>
        <w:top w:val="single" w:sz="4" w:space="0" w:color="00294E" w:themeColor="text2"/>
        <w:left w:val="single" w:sz="4" w:space="0" w:color="00294E" w:themeColor="text2"/>
        <w:bottom w:val="single" w:sz="4" w:space="0" w:color="00294E" w:themeColor="text2"/>
        <w:right w:val="single" w:sz="4" w:space="0" w:color="00294E" w:themeColor="text2"/>
        <w:insideH w:val="single" w:sz="4" w:space="0" w:color="00294E" w:themeColor="text2"/>
        <w:insideV w:val="single" w:sz="4" w:space="0" w:color="00294E" w:themeColor="text2"/>
      </w:tblBorders>
    </w:tblPr>
    <w:tblStylePr w:type="firstRow">
      <w:rPr>
        <w:b/>
        <w:bCs/>
        <w:color w:val="FFFFFF" w:themeColor="background1"/>
      </w:rPr>
      <w:tblPr/>
      <w:tcPr>
        <w:tcBorders>
          <w:top w:val="single" w:sz="4" w:space="0" w:color="00294E" w:themeColor="text2"/>
          <w:left w:val="single" w:sz="4" w:space="0" w:color="00294E" w:themeColor="text2"/>
          <w:bottom w:val="single" w:sz="4" w:space="0" w:color="00294E" w:themeColor="text2"/>
          <w:right w:val="single" w:sz="4" w:space="0" w:color="00294E" w:themeColor="text2"/>
          <w:insideH w:val="single" w:sz="4" w:space="0" w:color="00294E" w:themeColor="text2"/>
          <w:insideV w:val="single" w:sz="4" w:space="0" w:color="00294E" w:themeColor="text2"/>
        </w:tcBorders>
        <w:shd w:val="clear" w:color="auto" w:fill="00294E" w:themeFill="text2"/>
      </w:tcPr>
    </w:tblStylePr>
    <w:tblStylePr w:type="lastRow">
      <w:rPr>
        <w:b/>
        <w:bCs/>
      </w:rPr>
      <w:tblPr/>
      <w:tcPr>
        <w:tcBorders>
          <w:top w:val="double" w:sz="4" w:space="0" w:color="58595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95B" w:themeColor="accent4"/>
          <w:right w:val="single" w:sz="4" w:space="0" w:color="58595B" w:themeColor="accent4"/>
        </w:tcBorders>
      </w:tcPr>
    </w:tblStylePr>
    <w:tblStylePr w:type="band1Horz">
      <w:tblPr/>
      <w:tcPr>
        <w:tcBorders>
          <w:top w:val="single" w:sz="4" w:space="0" w:color="58595B" w:themeColor="accent4"/>
          <w:bottom w:val="single" w:sz="4" w:space="0" w:color="58595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95B" w:themeColor="accent4"/>
          <w:left w:val="nil"/>
        </w:tcBorders>
      </w:tcPr>
    </w:tblStylePr>
    <w:tblStylePr w:type="swCell">
      <w:tblPr/>
      <w:tcPr>
        <w:tcBorders>
          <w:top w:val="double" w:sz="4" w:space="0" w:color="58595B" w:themeColor="accent4"/>
          <w:right w:val="nil"/>
        </w:tcBorders>
      </w:tcPr>
    </w:tblStylePr>
  </w:style>
  <w:style w:type="paragraph" w:styleId="NoSpacing">
    <w:name w:val="No Spacing"/>
    <w:link w:val="NoSpacingChar"/>
    <w:uiPriority w:val="1"/>
    <w:qFormat/>
    <w:rsid w:val="004D08DF"/>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4D08DF"/>
    <w:rPr>
      <w:rFonts w:eastAsiaTheme="minorEastAsia"/>
      <w:kern w:val="0"/>
      <w:lang w:val="en-US"/>
      <w14:ligatures w14:val="none"/>
    </w:rPr>
  </w:style>
  <w:style w:type="paragraph" w:styleId="NormalWeb">
    <w:name w:val="Normal (Web)"/>
    <w:basedOn w:val="Normal"/>
    <w:uiPriority w:val="99"/>
    <w:semiHidden/>
    <w:unhideWhenUsed/>
    <w:rsid w:val="004D08DF"/>
    <w:pPr>
      <w:spacing w:before="100" w:beforeAutospacing="1" w:after="100" w:afterAutospacing="1"/>
    </w:pPr>
    <w:rPr>
      <w:rFonts w:ascii="Times New Roman" w:eastAsia="Times New Roman" w:hAnsi="Times New Roman" w:cs="Times New Roman"/>
      <w:szCs w:val="24"/>
      <w:lang w:eastAsia="en-AU"/>
    </w:rPr>
  </w:style>
  <w:style w:type="character" w:styleId="PlaceholderText">
    <w:name w:val="Placeholder Text"/>
    <w:basedOn w:val="DefaultParagraphFont"/>
    <w:uiPriority w:val="99"/>
    <w:semiHidden/>
    <w:rsid w:val="004D08DF"/>
    <w:rPr>
      <w:color w:val="808080"/>
    </w:rPr>
  </w:style>
  <w:style w:type="table" w:styleId="PlainTable2">
    <w:name w:val="Plain Table 2"/>
    <w:basedOn w:val="TableNormal"/>
    <w:uiPriority w:val="42"/>
    <w:rsid w:val="004D08DF"/>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ubtleEmphasis">
    <w:name w:val="Subtle Emphasis"/>
    <w:basedOn w:val="DefaultParagraphFont"/>
    <w:uiPriority w:val="19"/>
    <w:qFormat/>
    <w:rsid w:val="00D85D93"/>
    <w:rPr>
      <w:i/>
      <w:iCs/>
      <w:color w:val="404040" w:themeColor="text1" w:themeTint="BF"/>
    </w:rPr>
  </w:style>
  <w:style w:type="character" w:styleId="SubtleReference">
    <w:name w:val="Subtle Reference"/>
    <w:basedOn w:val="DefaultParagraphFont"/>
    <w:uiPriority w:val="31"/>
    <w:qFormat/>
    <w:rsid w:val="00D85D93"/>
    <w:rPr>
      <w:smallCaps/>
      <w:color w:val="5A5A5A" w:themeColor="text1" w:themeTint="A5"/>
    </w:rPr>
  </w:style>
  <w:style w:type="paragraph" w:styleId="TOC1">
    <w:name w:val="toc 1"/>
    <w:basedOn w:val="Normal"/>
    <w:next w:val="Normal"/>
    <w:autoRedefine/>
    <w:uiPriority w:val="39"/>
    <w:unhideWhenUsed/>
    <w:rsid w:val="004D08DF"/>
    <w:pPr>
      <w:tabs>
        <w:tab w:val="right" w:leader="dot" w:pos="9016"/>
      </w:tabs>
      <w:spacing w:after="100"/>
    </w:pPr>
  </w:style>
  <w:style w:type="paragraph" w:styleId="TOC2">
    <w:name w:val="toc 2"/>
    <w:basedOn w:val="Normal"/>
    <w:next w:val="Normal"/>
    <w:autoRedefine/>
    <w:uiPriority w:val="39"/>
    <w:unhideWhenUsed/>
    <w:rsid w:val="004D08DF"/>
    <w:pPr>
      <w:tabs>
        <w:tab w:val="right" w:leader="dot" w:pos="9016"/>
      </w:tabs>
      <w:spacing w:before="180"/>
      <w:ind w:left="284" w:hanging="284"/>
    </w:pPr>
    <w:rPr>
      <w:rFonts w:asciiTheme="majorHAnsi" w:hAnsiTheme="majorHAnsi"/>
      <w:noProof/>
      <w:color w:val="00294E" w:themeColor="text2"/>
    </w:rPr>
  </w:style>
  <w:style w:type="paragraph" w:styleId="TOC3">
    <w:name w:val="toc 3"/>
    <w:basedOn w:val="Normal"/>
    <w:next w:val="Normal"/>
    <w:autoRedefine/>
    <w:uiPriority w:val="39"/>
    <w:unhideWhenUsed/>
    <w:rsid w:val="004D08DF"/>
    <w:pPr>
      <w:tabs>
        <w:tab w:val="right" w:leader="dot" w:pos="9015"/>
      </w:tabs>
      <w:ind w:left="851" w:hanging="567"/>
    </w:pPr>
    <w:rPr>
      <w:noProof/>
    </w:rPr>
  </w:style>
  <w:style w:type="paragraph" w:styleId="TOC4">
    <w:name w:val="toc 4"/>
    <w:basedOn w:val="Normal"/>
    <w:next w:val="Normal"/>
    <w:autoRedefine/>
    <w:uiPriority w:val="39"/>
    <w:unhideWhenUsed/>
    <w:rsid w:val="004D08DF"/>
    <w:pPr>
      <w:spacing w:after="100"/>
      <w:ind w:left="442"/>
    </w:pPr>
  </w:style>
  <w:style w:type="paragraph" w:styleId="TOC5">
    <w:name w:val="toc 5"/>
    <w:basedOn w:val="Normal"/>
    <w:next w:val="Normal"/>
    <w:autoRedefine/>
    <w:uiPriority w:val="39"/>
    <w:unhideWhenUsed/>
    <w:rsid w:val="004D08DF"/>
    <w:pPr>
      <w:spacing w:after="100"/>
      <w:ind w:left="601"/>
    </w:pPr>
  </w:style>
  <w:style w:type="paragraph" w:styleId="TOCHeading">
    <w:name w:val="TOC Heading"/>
    <w:basedOn w:val="Heading2"/>
    <w:next w:val="Normal"/>
    <w:uiPriority w:val="39"/>
    <w:unhideWhenUsed/>
    <w:qFormat/>
    <w:rsid w:val="004D08DF"/>
    <w:pPr>
      <w:spacing w:after="480"/>
      <w:outlineLvl w:val="9"/>
    </w:pPr>
    <w:rPr>
      <w:lang w:val="en-US"/>
    </w:rPr>
  </w:style>
  <w:style w:type="table" w:customStyle="1" w:styleId="Verticaltable">
    <w:name w:val="Vertical table"/>
    <w:basedOn w:val="TableNormal"/>
    <w:uiPriority w:val="99"/>
    <w:rsid w:val="004D08DF"/>
    <w:pPr>
      <w:spacing w:after="0" w:line="240" w:lineRule="auto"/>
    </w:pPr>
    <w:rPr>
      <w:kern w:val="0"/>
      <w14:ligatures w14:val="none"/>
    </w:rPr>
    <w:tblPr>
      <w:tblBorders>
        <w:top w:val="single" w:sz="4" w:space="0" w:color="00294E" w:themeColor="text2"/>
        <w:left w:val="single" w:sz="4" w:space="0" w:color="00294E" w:themeColor="text2"/>
        <w:bottom w:val="single" w:sz="4" w:space="0" w:color="00294E" w:themeColor="text2"/>
        <w:right w:val="single" w:sz="4" w:space="0" w:color="00294E" w:themeColor="text2"/>
        <w:insideH w:val="single" w:sz="4" w:space="0" w:color="00294E" w:themeColor="text2"/>
        <w:insideV w:val="single" w:sz="4" w:space="0" w:color="00294E" w:themeColor="text2"/>
      </w:tblBorders>
    </w:tblPr>
    <w:tblStylePr w:type="lastRow">
      <w:rPr>
        <w:b w:val="0"/>
      </w:rPr>
    </w:tblStylePr>
    <w:tblStylePr w:type="firstCol">
      <w:rPr>
        <w:b/>
        <w:color w:val="FFFFFF" w:themeColor="background1"/>
      </w:rPr>
      <w:tblPr/>
      <w:tcPr>
        <w:shd w:val="clear" w:color="auto" w:fill="00294E" w:themeFill="text2"/>
      </w:tcPr>
    </w:tblStylePr>
  </w:style>
  <w:style w:type="paragraph" w:customStyle="1" w:styleId="Prelims">
    <w:name w:val="Prelims"/>
    <w:basedOn w:val="Normal"/>
    <w:qFormat/>
    <w:rsid w:val="004D08DF"/>
    <w:rPr>
      <w:spacing w:val="-1"/>
      <w:kern w:val="20"/>
      <w:sz w:val="20"/>
      <w:szCs w:val="18"/>
    </w:rPr>
  </w:style>
  <w:style w:type="paragraph" w:customStyle="1" w:styleId="NoteSource">
    <w:name w:val="Note / Source"/>
    <w:basedOn w:val="Normal"/>
    <w:qFormat/>
    <w:rsid w:val="004D08DF"/>
    <w:pPr>
      <w:spacing w:after="240"/>
      <w:contextualSpacing/>
    </w:pPr>
    <w:rPr>
      <w:sz w:val="20"/>
      <w:szCs w:val="18"/>
    </w:rPr>
  </w:style>
  <w:style w:type="paragraph" w:customStyle="1" w:styleId="Heading2Numbered">
    <w:name w:val="Heading 2 Numbered"/>
    <w:basedOn w:val="Heading2"/>
    <w:qFormat/>
    <w:rsid w:val="004D08DF"/>
    <w:pPr>
      <w:numPr>
        <w:numId w:val="22"/>
      </w:numPr>
    </w:pPr>
  </w:style>
  <w:style w:type="paragraph" w:customStyle="1" w:styleId="Heading3Numbered">
    <w:name w:val="Heading 3 Numbered"/>
    <w:basedOn w:val="Heading3"/>
    <w:qFormat/>
    <w:rsid w:val="004D08DF"/>
    <w:pPr>
      <w:numPr>
        <w:ilvl w:val="1"/>
        <w:numId w:val="22"/>
      </w:numPr>
    </w:pPr>
  </w:style>
  <w:style w:type="paragraph" w:customStyle="1" w:styleId="Heading4Numbered">
    <w:name w:val="Heading 4 Numbered"/>
    <w:basedOn w:val="Heading4"/>
    <w:qFormat/>
    <w:rsid w:val="004D08DF"/>
    <w:pPr>
      <w:numPr>
        <w:ilvl w:val="2"/>
        <w:numId w:val="22"/>
      </w:numPr>
    </w:pPr>
  </w:style>
  <w:style w:type="paragraph" w:customStyle="1" w:styleId="URL">
    <w:name w:val="URL"/>
    <w:basedOn w:val="Normal"/>
    <w:qFormat/>
    <w:rsid w:val="004D08DF"/>
    <w:pPr>
      <w:spacing w:before="0" w:after="160" w:line="259" w:lineRule="auto"/>
    </w:pPr>
    <w:rPr>
      <w:color w:val="FFFFFF" w:themeColor="background1"/>
      <w:kern w:val="2"/>
      <w:sz w:val="30"/>
      <w14:ligatures w14:val="standardContextual"/>
    </w:rPr>
  </w:style>
  <w:style w:type="paragraph" w:customStyle="1" w:styleId="Tagline">
    <w:name w:val="Tagline"/>
    <w:basedOn w:val="Normal"/>
    <w:qFormat/>
    <w:rsid w:val="004D08DF"/>
    <w:pPr>
      <w:spacing w:before="6520"/>
      <w:ind w:right="5670"/>
    </w:pPr>
    <w:rPr>
      <w:color w:val="FFFFFF" w:themeColor="background1"/>
      <w:kern w:val="2"/>
      <w:sz w:val="28"/>
      <w:szCs w:val="34"/>
      <w14:ligatures w14:val="standardContextual"/>
    </w:rPr>
  </w:style>
  <w:style w:type="paragraph" w:customStyle="1" w:styleId="Logo">
    <w:name w:val="Logo"/>
    <w:basedOn w:val="Normal"/>
    <w:qFormat/>
    <w:rsid w:val="004D08DF"/>
    <w:pPr>
      <w:spacing w:before="320"/>
    </w:pPr>
  </w:style>
  <w:style w:type="paragraph" w:customStyle="1" w:styleId="TableText">
    <w:name w:val="Table Text"/>
    <w:basedOn w:val="Normal"/>
    <w:qFormat/>
    <w:rsid w:val="004D08DF"/>
    <w:rPr>
      <w:sz w:val="20"/>
      <w:szCs w:val="18"/>
    </w:rPr>
  </w:style>
  <w:style w:type="paragraph" w:customStyle="1" w:styleId="TableBullets">
    <w:name w:val="Table Bullets"/>
    <w:basedOn w:val="TableText"/>
    <w:qFormat/>
    <w:rsid w:val="004D08DF"/>
    <w:pPr>
      <w:numPr>
        <w:numId w:val="23"/>
      </w:numPr>
      <w:spacing w:before="60" w:after="60"/>
    </w:pPr>
  </w:style>
  <w:style w:type="paragraph" w:customStyle="1" w:styleId="Heading2Prelims">
    <w:name w:val="Heading 2 Prelims"/>
    <w:basedOn w:val="Heading2"/>
    <w:qFormat/>
    <w:rsid w:val="004D08DF"/>
    <w:pPr>
      <w:spacing w:before="240" w:after="120"/>
    </w:pPr>
    <w:rPr>
      <w:sz w:val="36"/>
      <w:szCs w:val="36"/>
    </w:rPr>
  </w:style>
  <w:style w:type="paragraph" w:customStyle="1" w:styleId="PrelimsBullets">
    <w:name w:val="Prelims Bullets"/>
    <w:basedOn w:val="Prelims"/>
    <w:qFormat/>
    <w:rsid w:val="004D08DF"/>
    <w:pPr>
      <w:numPr>
        <w:numId w:val="24"/>
      </w:numPr>
      <w:spacing w:before="60" w:after="60"/>
    </w:pPr>
  </w:style>
  <w:style w:type="paragraph" w:customStyle="1" w:styleId="Captionsecondary">
    <w:name w:val="Caption secondary"/>
    <w:basedOn w:val="Caption"/>
    <w:qFormat/>
    <w:rsid w:val="004D08DF"/>
    <w:pPr>
      <w:spacing w:before="120"/>
    </w:pPr>
    <w:rPr>
      <w:rFonts w:asciiTheme="majorHAnsi" w:hAnsiTheme="majorHAnsi"/>
      <w:b w:val="0"/>
      <w:color w:val="00294E" w:themeColor="text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345794">
      <w:bodyDiv w:val="1"/>
      <w:marLeft w:val="0"/>
      <w:marRight w:val="0"/>
      <w:marTop w:val="0"/>
      <w:marBottom w:val="0"/>
      <w:divBdr>
        <w:top w:val="none" w:sz="0" w:space="0" w:color="auto"/>
        <w:left w:val="none" w:sz="0" w:space="0" w:color="auto"/>
        <w:bottom w:val="none" w:sz="0" w:space="0" w:color="auto"/>
        <w:right w:val="none" w:sz="0" w:space="0" w:color="auto"/>
      </w:divBdr>
      <w:divsChild>
        <w:div w:id="32930503">
          <w:marLeft w:val="0"/>
          <w:marRight w:val="0"/>
          <w:marTop w:val="0"/>
          <w:marBottom w:val="0"/>
          <w:divBdr>
            <w:top w:val="none" w:sz="0" w:space="0" w:color="auto"/>
            <w:left w:val="none" w:sz="0" w:space="0" w:color="auto"/>
            <w:bottom w:val="none" w:sz="0" w:space="0" w:color="auto"/>
            <w:right w:val="none" w:sz="0" w:space="0" w:color="auto"/>
          </w:divBdr>
        </w:div>
        <w:div w:id="633216400">
          <w:marLeft w:val="0"/>
          <w:marRight w:val="0"/>
          <w:marTop w:val="0"/>
          <w:marBottom w:val="0"/>
          <w:divBdr>
            <w:top w:val="none" w:sz="0" w:space="0" w:color="auto"/>
            <w:left w:val="none" w:sz="0" w:space="0" w:color="auto"/>
            <w:bottom w:val="none" w:sz="0" w:space="0" w:color="auto"/>
            <w:right w:val="none" w:sz="0" w:space="0" w:color="auto"/>
          </w:divBdr>
        </w:div>
        <w:div w:id="778715974">
          <w:marLeft w:val="0"/>
          <w:marRight w:val="0"/>
          <w:marTop w:val="0"/>
          <w:marBottom w:val="0"/>
          <w:divBdr>
            <w:top w:val="none" w:sz="0" w:space="0" w:color="auto"/>
            <w:left w:val="none" w:sz="0" w:space="0" w:color="auto"/>
            <w:bottom w:val="none" w:sz="0" w:space="0" w:color="auto"/>
            <w:right w:val="none" w:sz="0" w:space="0" w:color="auto"/>
          </w:divBdr>
        </w:div>
        <w:div w:id="1187912698">
          <w:marLeft w:val="0"/>
          <w:marRight w:val="0"/>
          <w:marTop w:val="0"/>
          <w:marBottom w:val="0"/>
          <w:divBdr>
            <w:top w:val="none" w:sz="0" w:space="0" w:color="auto"/>
            <w:left w:val="none" w:sz="0" w:space="0" w:color="auto"/>
            <w:bottom w:val="none" w:sz="0" w:space="0" w:color="auto"/>
            <w:right w:val="none" w:sz="0" w:space="0" w:color="auto"/>
          </w:divBdr>
        </w:div>
        <w:div w:id="1517965062">
          <w:marLeft w:val="0"/>
          <w:marRight w:val="0"/>
          <w:marTop w:val="0"/>
          <w:marBottom w:val="0"/>
          <w:divBdr>
            <w:top w:val="none" w:sz="0" w:space="0" w:color="auto"/>
            <w:left w:val="none" w:sz="0" w:space="0" w:color="auto"/>
            <w:bottom w:val="none" w:sz="0" w:space="0" w:color="auto"/>
            <w:right w:val="none" w:sz="0" w:space="0" w:color="auto"/>
          </w:divBdr>
        </w:div>
        <w:div w:id="1894654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80/01972243.2023.2211055" TargetMode="External"/><Relationship Id="rId21" Type="http://schemas.openxmlformats.org/officeDocument/2006/relationships/hyperlink" Target="https://www.transparency.gov.au/publications/finance/australian-electoral-commission/australian-electoral-commission-annual-report-2019-20" TargetMode="External"/><Relationship Id="rId42" Type="http://schemas.openxmlformats.org/officeDocument/2006/relationships/hyperlink" Target="https://www.ned.org/wp-content/uploads/2021/01/The-Road-Ahead-Mapping-Civil-Society-Responses-to-Disinformation-Bradshaw-Neudert-Jan-2021-2.pdf?utm_source=forum&amp;utm_medium=site&amp;utm_campaign=disinfo%20bradshaw%20neudert" TargetMode="External"/><Relationship Id="rId63" Type="http://schemas.openxmlformats.org/officeDocument/2006/relationships/hyperlink" Target="https://newapproach.org.au/wp-content/uploads/2021/07/3-ANA-InsightReportThree-FullReport.pdf" TargetMode="External"/><Relationship Id="rId84" Type="http://schemas.openxmlformats.org/officeDocument/2006/relationships/hyperlink" Target="https://doi.org/10.1525/irqr.2013.6.4.559" TargetMode="External"/><Relationship Id="rId138" Type="http://schemas.openxmlformats.org/officeDocument/2006/relationships/hyperlink" Target="https://doi.org/10.1080/0161956X.2011.561171" TargetMode="External"/><Relationship Id="rId159" Type="http://schemas.openxmlformats.org/officeDocument/2006/relationships/footer" Target="footer1.xml"/><Relationship Id="rId107" Type="http://schemas.openxmlformats.org/officeDocument/2006/relationships/hyperlink" Target="https://www.theguardian.com/australia-news/2023/nov/12/australians-arent-joining-in-any-more-and-it-appears-to-be-having-big-political-consequences" TargetMode="External"/><Relationship Id="rId11" Type="http://schemas.openxmlformats.org/officeDocument/2006/relationships/image" Target="media/image1.png"/><Relationship Id="rId32" Type="http://schemas.openxmlformats.org/officeDocument/2006/relationships/hyperlink" Target="https://www.redcross.org.au/globalassets/cms/documents/emergency-services/12-011-red-roundtable-report_v3-f-web.pdf" TargetMode="External"/><Relationship Id="rId53" Type="http://schemas.openxmlformats.org/officeDocument/2006/relationships/hyperlink" Target="https://creative.gov.au/research/creating-value-results-national-arts-participation-survey" TargetMode="External"/><Relationship Id="rId74" Type="http://schemas.openxmlformats.org/officeDocument/2006/relationships/hyperlink" Target="https://data.europa.eu/doi/10.2766/39199" TargetMode="External"/><Relationship Id="rId128" Type="http://schemas.openxmlformats.org/officeDocument/2006/relationships/hyperlink" Target="https://doi.org/10.1016/S0140-6736(06)69744-4" TargetMode="External"/><Relationship Id="rId149" Type="http://schemas.openxmlformats.org/officeDocument/2006/relationships/hyperlink" Target="https://www.idea.int/sites/default/files/publications/cybersecurity-in-elections-models-of-interagency-collaboration.pdf" TargetMode="External"/><Relationship Id="rId5" Type="http://schemas.openxmlformats.org/officeDocument/2006/relationships/numbering" Target="numbering.xml"/><Relationship Id="rId95" Type="http://schemas.openxmlformats.org/officeDocument/2006/relationships/hyperlink" Target="https://doi.org/10.5964/jspp.v3i1.443" TargetMode="External"/><Relationship Id="rId160" Type="http://schemas.openxmlformats.org/officeDocument/2006/relationships/footer" Target="footer2.xml"/><Relationship Id="rId22" Type="http://schemas.openxmlformats.org/officeDocument/2006/relationships/hyperlink" Target="https://www.transparency.gov.au/publications/finance/australian-electoral-commission/australian-electoral-commission-annual-report-2019-20" TargetMode="External"/><Relationship Id="rId43" Type="http://schemas.openxmlformats.org/officeDocument/2006/relationships/hyperlink" Target="https://doi.org/10.53269/9780865593152/08" TargetMode="External"/><Relationship Id="rId64" Type="http://schemas.openxmlformats.org/officeDocument/2006/relationships/hyperlink" Target="https://newapproach.org.au/analysis-papers/intergenerational-arts-and-culture-lessons-across-middle-australia/" TargetMode="External"/><Relationship Id="rId118" Type="http://schemas.openxmlformats.org/officeDocument/2006/relationships/hyperlink" Target="https://doi.org/10.60836/jpmm-dw04" TargetMode="External"/><Relationship Id="rId139" Type="http://schemas.openxmlformats.org/officeDocument/2006/relationships/hyperlink" Target="https://doi.org/10.1177/1368430220967975" TargetMode="External"/><Relationship Id="rId85" Type="http://schemas.openxmlformats.org/officeDocument/2006/relationships/hyperlink" Target="https://amaga.org.au/Web/Web/Resources/Indigenous-Roadmap.aspx" TargetMode="External"/><Relationship Id="rId150" Type="http://schemas.openxmlformats.org/officeDocument/2006/relationships/hyperlink" Target="https://scanloninstitute.org.au/publications/insights/social-cohesion-insights-04-belonging/" TargetMode="External"/><Relationship Id="rId12" Type="http://schemas.openxmlformats.org/officeDocument/2006/relationships/image" Target="media/image2.png"/><Relationship Id="rId17" Type="http://schemas.openxmlformats.org/officeDocument/2006/relationships/hyperlink" Target="https://nap.edu.au/docs/default-source/nap-sample/nap-cc-2024-public-report.pdf" TargetMode="External"/><Relationship Id="rId33" Type="http://schemas.openxmlformats.org/officeDocument/2006/relationships/hyperlink" Target="https://australiainstitute.org.au/wp-content/uploads/2023/10/Polling-Misinformation-and-the-referendum-Web.pdf" TargetMode="External"/><Relationship Id="rId38" Type="http://schemas.openxmlformats.org/officeDocument/2006/relationships/hyperlink" Target="https://csrm.cass.anu.edu.au/research/publications/ongoing-trends-volunteering-australian" TargetMode="External"/><Relationship Id="rId59" Type="http://schemas.openxmlformats.org/officeDocument/2006/relationships/hyperlink" Target="https://www.edelman.com/sites/g/files/aatuss191/files/2025-01/2025%20Edelman%20Trust%20Barometer%20Global%20Report_01.23.25.pdf" TargetMode="External"/><Relationship Id="rId103" Type="http://schemas.openxmlformats.org/officeDocument/2006/relationships/hyperlink" Target="https://doi.org/10.1080/17439884.2018.1428623" TargetMode="External"/><Relationship Id="rId108" Type="http://schemas.openxmlformats.org/officeDocument/2006/relationships/hyperlink" Target="https://webarchive.nla.gov.au/awa/20230426175702/https:/www.nla.gov.au/news-and-media/media-releases/2022/trove-turns-new-page" TargetMode="External"/><Relationship Id="rId124" Type="http://schemas.openxmlformats.org/officeDocument/2006/relationships/hyperlink" Target="https://doi.org/10.1002/ejsp.852" TargetMode="External"/><Relationship Id="rId129" Type="http://schemas.openxmlformats.org/officeDocument/2006/relationships/hyperlink" Target="https://doi.org/10.1080/14490854.2015.11668586" TargetMode="External"/><Relationship Id="rId54" Type="http://schemas.openxmlformats.org/officeDocument/2006/relationships/hyperlink" Target="https://doi.org/10.5694/mja2.50704" TargetMode="External"/><Relationship Id="rId70" Type="http://schemas.openxmlformats.org/officeDocument/2006/relationships/hyperlink" Target="https://doi.org/10.1080/10286632.2019.1709060" TargetMode="External"/><Relationship Id="rId75" Type="http://schemas.openxmlformats.org/officeDocument/2006/relationships/hyperlink" Target="https://data.europa.eu/doi/10.2766/39199" TargetMode="External"/><Relationship Id="rId91" Type="http://schemas.openxmlformats.org/officeDocument/2006/relationships/hyperlink" Target="https://theconversation.com/australia-day-wasnt-always-january-26-but-it-was-always-an-issue-198389" TargetMode="External"/><Relationship Id="rId96" Type="http://schemas.openxmlformats.org/officeDocument/2006/relationships/hyperlink" Target="https://doi.org/10.1177/0340035220987578" TargetMode="External"/><Relationship Id="rId140" Type="http://schemas.openxmlformats.org/officeDocument/2006/relationships/hyperlink" Target="https://doi.org/10.1177/1368430220967975" TargetMode="External"/><Relationship Id="rId145" Type="http://schemas.openxmlformats.org/officeDocument/2006/relationships/hyperlink" Target="https://www.homeaffairs.gov.au/about-us-subsite/files/strengthening-australian-democracy.pdf" TargetMode="External"/><Relationship Id="rId16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flinders.edu.au/content/dam/documents/research/bgl/Fulbright-Lecture-Series-Pub8.pdf" TargetMode="External"/><Relationship Id="rId28" Type="http://schemas.openxmlformats.org/officeDocument/2006/relationships/hyperlink" Target="https://www.aam-us.org/2021/09/30/museums-and-trust-2021/" TargetMode="External"/><Relationship Id="rId49" Type="http://schemas.openxmlformats.org/officeDocument/2006/relationships/hyperlink" Target="https://doi.org/10.1002/poi3.429" TargetMode="External"/><Relationship Id="rId114" Type="http://schemas.openxmlformats.org/officeDocument/2006/relationships/hyperlink" Target="https://medialiteracy.org.au/wp-content/uploads/2024/08/AML2024_report_final-compressed.pdf" TargetMode="External"/><Relationship Id="rId119" Type="http://schemas.openxmlformats.org/officeDocument/2006/relationships/hyperlink" Target="https://doi.org/10.25916/KAHM-ZR94" TargetMode="External"/><Relationship Id="rId44" Type="http://schemas.openxmlformats.org/officeDocument/2006/relationships/hyperlink" Target="https://doi.org/10.1386/jaah.9.1.71_1" TargetMode="External"/><Relationship Id="rId60" Type="http://schemas.openxmlformats.org/officeDocument/2006/relationships/hyperlink" Target="https://researchsystem.canberra.edu.au/ws/portalfiles/portal/64292687/Final_Report_Building_Democratic_Resilience_2022.pdf" TargetMode="External"/><Relationship Id="rId65" Type="http://schemas.openxmlformats.org/officeDocument/2006/relationships/hyperlink" Target="https://doi.org/10.1038/s41598-021-81001-4" TargetMode="External"/><Relationship Id="rId81" Type="http://schemas.openxmlformats.org/officeDocument/2006/relationships/hyperlink" Target="https://doi.org/10.1177/1940161219900126" TargetMode="External"/><Relationship Id="rId86" Type="http://schemas.openxmlformats.org/officeDocument/2006/relationships/hyperlink" Target="https://doi.org/10.1111/bjso.12314" TargetMode="External"/><Relationship Id="rId130" Type="http://schemas.openxmlformats.org/officeDocument/2006/relationships/hyperlink" Target="https://doi.org/10.1093/ahr/121.2.377" TargetMode="External"/><Relationship Id="rId135" Type="http://schemas.openxmlformats.org/officeDocument/2006/relationships/hyperlink" Target="https://doi.org/10.1016/j.acalib.2020.102304" TargetMode="External"/><Relationship Id="rId151" Type="http://schemas.openxmlformats.org/officeDocument/2006/relationships/hyperlink" Target="https://doi.org/10.1177/1745691618774270" TargetMode="External"/><Relationship Id="rId156" Type="http://schemas.openxmlformats.org/officeDocument/2006/relationships/hyperlink" Target="https://leadertoday.com.au/news/2021/06/13/footprints-take-action-on-inequality/" TargetMode="External"/><Relationship Id="rId13" Type="http://schemas.openxmlformats.org/officeDocument/2006/relationships/hyperlink" Target="http://creativecommons.org/licenses/by/4.0/" TargetMode="External"/><Relationship Id="rId18" Type="http://schemas.openxmlformats.org/officeDocument/2006/relationships/hyperlink" Target="https://www.aec.gov.au/About_AEC/Publications/annual-report/files/aec-annual-report-2023-24.pdf" TargetMode="External"/><Relationship Id="rId39" Type="http://schemas.openxmlformats.org/officeDocument/2006/relationships/hyperlink" Target="https://csrm.cass.anu.edu.au/research/publications/ongoing-trends-volunteering-australian" TargetMode="External"/><Relationship Id="rId109" Type="http://schemas.openxmlformats.org/officeDocument/2006/relationships/hyperlink" Target="https://www.library.gov.au/visit/about-us/corporate-information/strategic-vision" TargetMode="External"/><Relationship Id="rId34" Type="http://schemas.openxmlformats.org/officeDocument/2006/relationships/hyperlink" Target="https://auc-word-edit.officeapps.live.com/we/" TargetMode="External"/><Relationship Id="rId50" Type="http://schemas.openxmlformats.org/officeDocument/2006/relationships/hyperlink" Target="https://doi.org/10.1016/j.jesp.2021.104245" TargetMode="External"/><Relationship Id="rId55" Type="http://schemas.openxmlformats.org/officeDocument/2006/relationships/hyperlink" Target="https://theconversation.com/australia-day-invasion-day-survival-day-a-long-history-of-celebration-and-contestation-70278" TargetMode="External"/><Relationship Id="rId76" Type="http://schemas.openxmlformats.org/officeDocument/2006/relationships/hyperlink" Target="https://doi.org/10.1038/s41562-024-01884-x" TargetMode="External"/><Relationship Id="rId97" Type="http://schemas.openxmlformats.org/officeDocument/2006/relationships/hyperlink" Target="https://doi.org/10.1080/15456870.2014.961636" TargetMode="External"/><Relationship Id="rId104" Type="http://schemas.openxmlformats.org/officeDocument/2006/relationships/hyperlink" Target="https://scholars.unh.edu/cgi/viewcontent.cgi?article=1427&amp;context=carsey" TargetMode="External"/><Relationship Id="rId120" Type="http://schemas.openxmlformats.org/officeDocument/2006/relationships/hyperlink" Target="https://doi.org/10.25916/KAHM-ZR94" TargetMode="External"/><Relationship Id="rId125" Type="http://schemas.openxmlformats.org/officeDocument/2006/relationships/hyperlink" Target="https://www.vgls.vic.gov.au/client/en_AU/vgls/search/detailnonmodal/ent:$002f$002fSD_ILS$002f0$002fSD_ILS:537151/ada?qu=Community+development+--+Victoria.&amp;d=ent%3A%2F%2FSD_ILS%2F0%2FSD_ILS%3A537151%7EILS%7E39&amp;ic=true&amp;av=0&amp;ps=300&amp;h=8" TargetMode="External"/><Relationship Id="rId141" Type="http://schemas.openxmlformats.org/officeDocument/2006/relationships/hyperlink" Target="https://www.aph.gov.au/Parliamentary_Business/Committees/Senate/Legal_and_Constitutional_Affairs/Nationhood/Report" TargetMode="External"/><Relationship Id="rId146" Type="http://schemas.openxmlformats.org/officeDocument/2006/relationships/hyperlink" Target="https://doi.org/10.1080/14490854.2021.1993742" TargetMode="External"/><Relationship Id="rId7" Type="http://schemas.openxmlformats.org/officeDocument/2006/relationships/settings" Target="settings.xml"/><Relationship Id="rId71" Type="http://schemas.openxmlformats.org/officeDocument/2006/relationships/hyperlink" Target="https://doi.org/10.1177/1368430218793190" TargetMode="External"/><Relationship Id="rId92" Type="http://schemas.openxmlformats.org/officeDocument/2006/relationships/hyperlink" Target="https://www.latrobe.edu.au/research/centres/csi" TargetMode="External"/><Relationship Id="rId162" Type="http://schemas.openxmlformats.org/officeDocument/2006/relationships/footer" Target="footer3.xml"/><Relationship Id="rId2" Type="http://schemas.openxmlformats.org/officeDocument/2006/relationships/customXml" Target="../customXml/item2.xml"/><Relationship Id="rId29" Type="http://schemas.openxmlformats.org/officeDocument/2006/relationships/hyperlink" Target="https://www.apsc.gov.au/publication/trust-australian-public-services-2023-annual-report" TargetMode="External"/><Relationship Id="rId24" Type="http://schemas.openxmlformats.org/officeDocument/2006/relationships/hyperlink" Target="https://doi.org/10.1017/S1468109922000366" TargetMode="External"/><Relationship Id="rId40" Type="http://schemas.openxmlformats.org/officeDocument/2006/relationships/hyperlink" Target="https://indigenousx.com.au/do-monuments-hold-any-value/" TargetMode="External"/><Relationship Id="rId45" Type="http://schemas.openxmlformats.org/officeDocument/2006/relationships/hyperlink" Target="https://doi.org/10.3390/genealogy5020052" TargetMode="External"/><Relationship Id="rId66" Type="http://schemas.openxmlformats.org/officeDocument/2006/relationships/hyperlink" Target="https://doi.org/10.1016/j.socscimed.2021.114241" TargetMode="External"/><Relationship Id="rId87" Type="http://schemas.openxmlformats.org/officeDocument/2006/relationships/hyperlink" Target="https://auc-word-edit.officeapps.live.com/we/" TargetMode="External"/><Relationship Id="rId110" Type="http://schemas.openxmlformats.org/officeDocument/2006/relationships/hyperlink" Target="https://trove.nla.gov.au/landing/community/hallOfFame" TargetMode="External"/><Relationship Id="rId115" Type="http://schemas.openxmlformats.org/officeDocument/2006/relationships/hyperlink" Target="https://scanloninstitute.org.au/mapping-social-cohesion-2024" TargetMode="External"/><Relationship Id="rId131" Type="http://schemas.openxmlformats.org/officeDocument/2006/relationships/hyperlink" Target="https://www.questacon.edu.au/about/reports/annual-reviews/annual-review-2021" TargetMode="External"/><Relationship Id="rId136" Type="http://schemas.openxmlformats.org/officeDocument/2006/relationships/hyperlink" Target="https://www.sydney.edu.au/sydney-policy-lab/news-and-analysis/latest-news/2022/06/30/nurturing-links-across-civil-society.html" TargetMode="External"/><Relationship Id="rId157" Type="http://schemas.openxmlformats.org/officeDocument/2006/relationships/hyperlink" Target="https://doi.org/10.60836/rqth-tc20" TargetMode="External"/><Relationship Id="rId61" Type="http://schemas.openxmlformats.org/officeDocument/2006/relationships/hyperlink" Target="https://camd.org.au/wp-content/uploads/2024/11/Guardians-of-our-Civic-Culture-what-museums-could-and-should-do-v.-9-Dec-2021.pdf" TargetMode="External"/><Relationship Id="rId82" Type="http://schemas.openxmlformats.org/officeDocument/2006/relationships/hyperlink" Target="https://doi.org/10.1080/1369118X.2021.2006744" TargetMode="External"/><Relationship Id="rId152" Type="http://schemas.openxmlformats.org/officeDocument/2006/relationships/hyperlink" Target="https://newapproach.org.au/insight-reports/transformative-edge-2024/" TargetMode="External"/><Relationship Id="rId19" Type="http://schemas.openxmlformats.org/officeDocument/2006/relationships/hyperlink" Target="https://www.aec.gov.au/About_AEC/" TargetMode="External"/><Relationship Id="rId14" Type="http://schemas.openxmlformats.org/officeDocument/2006/relationships/hyperlink" Target="https://creativecommons.org/licenses/by/4.0/" TargetMode="External"/><Relationship Id="rId30" Type="http://schemas.openxmlformats.org/officeDocument/2006/relationships/hyperlink" Target="https://doi.org/10.1080/17526272.2018.1495905" TargetMode="External"/><Relationship Id="rId35" Type="http://schemas.openxmlformats.org/officeDocument/2006/relationships/hyperlink" Target="https://doi.org/10.1163/9789004298507_006" TargetMode="External"/><Relationship Id="rId56" Type="http://schemas.openxmlformats.org/officeDocument/2006/relationships/hyperlink" Target="https://www.vichealth.vic.gov.au/sites/default/files/VH_Sax-Arts-Review.pdf" TargetMode="External"/><Relationship Id="rId77" Type="http://schemas.openxmlformats.org/officeDocument/2006/relationships/hyperlink" Target="https://le.ac.uk/rcmg/research-archive/museums-and-social-inclusion" TargetMode="External"/><Relationship Id="rId100" Type="http://schemas.openxmlformats.org/officeDocument/2006/relationships/hyperlink" Target="https://doi.org/10.20901/ms.10.19.2" TargetMode="External"/><Relationship Id="rId105" Type="http://schemas.openxmlformats.org/officeDocument/2006/relationships/hyperlink" Target="https://doi.org/10.1002/wmh3.428" TargetMode="External"/><Relationship Id="rId126" Type="http://schemas.openxmlformats.org/officeDocument/2006/relationships/hyperlink" Target="https://www.icfj.org/sites/default/files/2018-07/A%20Short%20Guide%20to%20History%20of%20Fake%20News%20and%20Disinformation_ICFJ%20Final.pdf" TargetMode="External"/><Relationship Id="rId147" Type="http://schemas.openxmlformats.org/officeDocument/2006/relationships/hyperlink" Target="https://treasury.gov.au/policy-topics/measuring-what-matters" TargetMode="External"/><Relationship Id="rId8" Type="http://schemas.openxmlformats.org/officeDocument/2006/relationships/webSettings" Target="webSettings.xml"/><Relationship Id="rId51" Type="http://schemas.openxmlformats.org/officeDocument/2006/relationships/hyperlink" Target="https://www.arts.gov.au/sites/default/files/documents/national-culturalpolicy-8february2023.pdf" TargetMode="External"/><Relationship Id="rId72" Type="http://schemas.openxmlformats.org/officeDocument/2006/relationships/hyperlink" Target="https://zenodo.org/records/11581752" TargetMode="External"/><Relationship Id="rId93" Type="http://schemas.openxmlformats.org/officeDocument/2006/relationships/hyperlink" Target="https://doi.org/10.1089/hs.2020.0176" TargetMode="External"/><Relationship Id="rId98" Type="http://schemas.openxmlformats.org/officeDocument/2006/relationships/hyperlink" Target="https://doi.org/10.1080/10361146.2024.2409093" TargetMode="External"/><Relationship Id="rId121" Type="http://schemas.openxmlformats.org/officeDocument/2006/relationships/hyperlink" Target="https://www.las.org.sg/wp/sjlim/nlb-public-education-on-information-literacy/" TargetMode="External"/><Relationship Id="rId142" Type="http://schemas.openxmlformats.org/officeDocument/2006/relationships/hyperlink" Target="https://doi.org/10.1080/14490854.2021.1993744" TargetMode="External"/><Relationship Id="rId163"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yperlink" Target="https://doi.org/10.1177/0002764214550299" TargetMode="External"/><Relationship Id="rId46" Type="http://schemas.openxmlformats.org/officeDocument/2006/relationships/hyperlink" Target="https://doi.org/10.3390/genealogy5020052" TargetMode="External"/><Relationship Id="rId67" Type="http://schemas.openxmlformats.org/officeDocument/2006/relationships/hyperlink" Target="https://doi.org/10.1016/j.uclim.2022.101287" TargetMode="External"/><Relationship Id="rId116" Type="http://schemas.openxmlformats.org/officeDocument/2006/relationships/hyperlink" Target="https://www.oecd-ilibrary.org/governance/the-oecd-reinforcing-democracy-initiative_9543bcfb-en" TargetMode="External"/><Relationship Id="rId137" Type="http://schemas.openxmlformats.org/officeDocument/2006/relationships/hyperlink" Target="https://doi.org/10.21428/a5d7554f.1b80974b" TargetMode="External"/><Relationship Id="rId158" Type="http://schemas.openxmlformats.org/officeDocument/2006/relationships/header" Target="header1.xml"/><Relationship Id="rId20" Type="http://schemas.openxmlformats.org/officeDocument/2006/relationships/hyperlink" Target="https://www.aec.gov.au/media/disinformation-register.htm" TargetMode="External"/><Relationship Id="rId41" Type="http://schemas.openxmlformats.org/officeDocument/2006/relationships/hyperlink" Target="https://www.nypl.org/sites-drupal/default/files/2024-11/Libraries_and_Well-Being_A_Case_Study_from_The_New_York_Public_Library_accessible.pdf" TargetMode="External"/><Relationship Id="rId62" Type="http://schemas.openxmlformats.org/officeDocument/2006/relationships/hyperlink" Target="https://moad-web.s3.amazonaws.com/heracles-production/eeb/eb6/a02/eebeb6a02fe190a891353692ab9f0d865648dc5ea6e87f12cbbc391174ce/Guardians%20of%20our%20Civic%20Culture%20what%20museums%20could%20and%20should%20do.pdf" TargetMode="External"/><Relationship Id="rId83" Type="http://schemas.openxmlformats.org/officeDocument/2006/relationships/hyperlink" Target="https://cdn.prod.website-files.com/643ecb10be528d2c1da863cb/6748a87524183f90d23fbc88_SR2024.2%20-%20Expert%20Survey%202024%20-%20Final.pdf" TargetMode="External"/><Relationship Id="rId88" Type="http://schemas.openxmlformats.org/officeDocument/2006/relationships/hyperlink" Target="https://doi.org/10.1108/JD-10-2021-0205" TargetMode="External"/><Relationship Id="rId111" Type="http://schemas.openxmlformats.org/officeDocument/2006/relationships/hyperlink" Target="https://www.nlb.gov.sg/main/site/sure-elevated" TargetMode="External"/><Relationship Id="rId132" Type="http://schemas.openxmlformats.org/officeDocument/2006/relationships/hyperlink" Target="https://www.questacon.edu.au/about/reports/annual-reviews/our-achievements" TargetMode="External"/><Relationship Id="rId153" Type="http://schemas.openxmlformats.org/officeDocument/2006/relationships/hyperlink" Target="https://doi.org/10.1177/1461444815591967" TargetMode="External"/><Relationship Id="rId15" Type="http://schemas.openxmlformats.org/officeDocument/2006/relationships/hyperlink" Target="https://creativecommons.org/licenses/by/4.0/legalcode" TargetMode="External"/><Relationship Id="rId36" Type="http://schemas.openxmlformats.org/officeDocument/2006/relationships/hyperlink" Target="https://doi.org/10.1080/01576895.2021.1883074" TargetMode="External"/><Relationship Id="rId57" Type="http://schemas.openxmlformats.org/officeDocument/2006/relationships/hyperlink" Target="https://doi.org/10.1016/j.acalib.2020.102218" TargetMode="External"/><Relationship Id="rId106" Type="http://schemas.openxmlformats.org/officeDocument/2006/relationships/hyperlink" Target="https://doi.org/10.1111/bjso.12536" TargetMode="External"/><Relationship Id="rId127" Type="http://schemas.openxmlformats.org/officeDocument/2006/relationships/hyperlink" Target="https://doi.org/10.1016/j.socscimed.2008.07.022" TargetMode="External"/><Relationship Id="rId10" Type="http://schemas.openxmlformats.org/officeDocument/2006/relationships/endnotes" Target="endnotes.xml"/><Relationship Id="rId31" Type="http://schemas.openxmlformats.org/officeDocument/2006/relationships/hyperlink" Target="https://humanities.org.au/power-of-the-humanities/the-australian-wars-new-insights-from-a-digital-map/" TargetMode="External"/><Relationship Id="rId52" Type="http://schemas.openxmlformats.org/officeDocument/2006/relationships/hyperlink" Target="https://doi.org/10.1108/S0065-283020210000050002" TargetMode="External"/><Relationship Id="rId73" Type="http://schemas.openxmlformats.org/officeDocument/2006/relationships/hyperlink" Target="https://zenodo.org/records/11581752" TargetMode="External"/><Relationship Id="rId78" Type="http://schemas.openxmlformats.org/officeDocument/2006/relationships/hyperlink" Target="https://doi.org/10.1037/a0040437" TargetMode="External"/><Relationship Id="rId94" Type="http://schemas.openxmlformats.org/officeDocument/2006/relationships/hyperlink" Target="https://doi.org/10.1038/s41598-022-14537-8" TargetMode="External"/><Relationship Id="rId99" Type="http://schemas.openxmlformats.org/officeDocument/2006/relationships/hyperlink" Target="https://successfulsocieties.princeton.edu/publications/defending-vote-estonia-creates-network-combat-disinformation-2016%E2%80%932020" TargetMode="External"/><Relationship Id="rId101" Type="http://schemas.openxmlformats.org/officeDocument/2006/relationships/hyperlink" Target="https://doi.org/10.1080/13642529.2021.1966201" TargetMode="External"/><Relationship Id="rId122" Type="http://schemas.openxmlformats.org/officeDocument/2006/relationships/hyperlink" Target="https://doi.org/10.1186/s12889-021-11233-6" TargetMode="External"/><Relationship Id="rId143" Type="http://schemas.openxmlformats.org/officeDocument/2006/relationships/hyperlink" Target="https://doi.org/10.1080/10572317.2021.1946748" TargetMode="External"/><Relationship Id="rId148" Type="http://schemas.openxmlformats.org/officeDocument/2006/relationships/hyperlink" Target="https://doi.org/10.1080/1461670X.2023.2187652" TargetMode="External"/><Relationship Id="rId16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read.alia.org.au/alia-apla-submission-local-government-sustainability-standing-committee-enquiry-regional-development" TargetMode="External"/><Relationship Id="rId47" Type="http://schemas.openxmlformats.org/officeDocument/2006/relationships/hyperlink" Target="https://doi.org/10.1177/1098214006296245" TargetMode="External"/><Relationship Id="rId68" Type="http://schemas.openxmlformats.org/officeDocument/2006/relationships/hyperlink" Target="https://doi.org/10.5204/mcj.2862" TargetMode="External"/><Relationship Id="rId89" Type="http://schemas.openxmlformats.org/officeDocument/2006/relationships/hyperlink" Target="https://doi.org/10.1080/24750158.2023.2235646" TargetMode="External"/><Relationship Id="rId112" Type="http://schemas.openxmlformats.org/officeDocument/2006/relationships/hyperlink" Target="https://www.nlb.gov.sg/main/site/sure-elevated/about-us" TargetMode="External"/><Relationship Id="rId133" Type="http://schemas.openxmlformats.org/officeDocument/2006/relationships/hyperlink" Target="https://www8.austlii.edu.au/au/other/IndigLRes/2017/2.pdf" TargetMode="External"/><Relationship Id="rId154" Type="http://schemas.openxmlformats.org/officeDocument/2006/relationships/hyperlink" Target="https://doi.org/10.1177/1461444815591967" TargetMode="External"/><Relationship Id="rId16" Type="http://schemas.openxmlformats.org/officeDocument/2006/relationships/hyperlink" Target="https://www.nap.edu.au/docs/default-source/default-document-library/20210121-nap-cc-2019-public-report.pdf" TargetMode="External"/><Relationship Id="rId37" Type="http://schemas.openxmlformats.org/officeDocument/2006/relationships/hyperlink" Target="https://doi.org/10.1007/978-3-319-99675-2_59-1" TargetMode="External"/><Relationship Id="rId58" Type="http://schemas.openxmlformats.org/officeDocument/2006/relationships/hyperlink" Target="https://doi.org/10.1057/s41599-024-02605-5" TargetMode="External"/><Relationship Id="rId79" Type="http://schemas.openxmlformats.org/officeDocument/2006/relationships/hyperlink" Target="https://doi.org/10.1002/ejsp.2888" TargetMode="External"/><Relationship Id="rId102" Type="http://schemas.openxmlformats.org/officeDocument/2006/relationships/hyperlink" Target="https://doi.org/10.1080/10286632.2011.629045" TargetMode="External"/><Relationship Id="rId123" Type="http://schemas.openxmlformats.org/officeDocument/2006/relationships/hyperlink" Target="https://doi.org/10.1080/14490854.2021.1993748" TargetMode="External"/><Relationship Id="rId144" Type="http://schemas.openxmlformats.org/officeDocument/2006/relationships/hyperlink" Target="https://www.westernsydney.edu.au/ics/research/publications/shared-media/social-impact-of-the-arts-report.pdf" TargetMode="External"/><Relationship Id="rId90" Type="http://schemas.openxmlformats.org/officeDocument/2006/relationships/hyperlink" Target="https://www.aph.gov.au/Parliamentary_Business/Committees/Joint/National_Capital_and_External_Territories/NationalInstitutions/Report" TargetMode="External"/><Relationship Id="rId27" Type="http://schemas.openxmlformats.org/officeDocument/2006/relationships/hyperlink" Target="https://www.aam-us.org/2021/09/30/museums-and-trust-2021/" TargetMode="External"/><Relationship Id="rId48" Type="http://schemas.openxmlformats.org/officeDocument/2006/relationships/hyperlink" Target="https://theconversation.com/a-short-history-of-the-aboriginal-tent-embassy-an-indelible-reminder-of-unceded-sovereignty-174693" TargetMode="External"/><Relationship Id="rId69" Type="http://schemas.openxmlformats.org/officeDocument/2006/relationships/hyperlink" Target="https://eprints.qut.edu.au/238289/" TargetMode="External"/><Relationship Id="rId113" Type="http://schemas.openxmlformats.org/officeDocument/2006/relationships/hyperlink" Target="https://medialiteracy.org.au/wp-content/uploads/2022/03/FINAL_Australian_adult_media_literacy_report_20212.pdf" TargetMode="External"/><Relationship Id="rId134" Type="http://schemas.openxmlformats.org/officeDocument/2006/relationships/hyperlink" Target="https://regionalarts.com.au/uploads/files/Stats-Stories-1-Community-Connectedness.pdf" TargetMode="External"/><Relationship Id="rId80" Type="http://schemas.openxmlformats.org/officeDocument/2006/relationships/hyperlink" Target="https://www.aph.gov.au/Parliamentary_Business/Committees/House/Former_Committees/Communications/Arts/Report" TargetMode="External"/><Relationship Id="rId155" Type="http://schemas.openxmlformats.org/officeDocument/2006/relationships/hyperlink" Target="https://doi.org/10.1002/ejsp.290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of the Chief Scientist">
      <a:dk1>
        <a:srgbClr val="000000"/>
      </a:dk1>
      <a:lt1>
        <a:sysClr val="window" lastClr="FFFFFF"/>
      </a:lt1>
      <a:dk2>
        <a:srgbClr val="00294E"/>
      </a:dk2>
      <a:lt2>
        <a:srgbClr val="E7E6E6"/>
      </a:lt2>
      <a:accent1>
        <a:srgbClr val="377C0B"/>
      </a:accent1>
      <a:accent2>
        <a:srgbClr val="95C423"/>
      </a:accent2>
      <a:accent3>
        <a:srgbClr val="1B4666"/>
      </a:accent3>
      <a:accent4>
        <a:srgbClr val="58595B"/>
      </a:accent4>
      <a:accent5>
        <a:srgbClr val="859AAF"/>
      </a:accent5>
      <a:accent6>
        <a:srgbClr val="AAC2D6"/>
      </a:accent6>
      <a:hlink>
        <a:srgbClr val="377C0B"/>
      </a:hlink>
      <a:folHlink>
        <a:srgbClr val="808285"/>
      </a:folHlink>
    </a:clrScheme>
    <a:fontScheme name="DISR">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569BCF0EAF80040BE1AD7F3298FF28E" ma:contentTypeVersion="24" ma:contentTypeDescription="Create a new document." ma:contentTypeScope="" ma:versionID="2434db8ea5c8783adcf232c18055bdf5">
  <xsd:schema xmlns:xsd="http://www.w3.org/2001/XMLSchema" xmlns:xs="http://www.w3.org/2001/XMLSchema" xmlns:p="http://schemas.microsoft.com/office/2006/metadata/properties" xmlns:ns1="http://schemas.microsoft.com/sharepoint/v3" xmlns:ns2="86c96d13-3f4b-48aa-a619-a126d8504f5d" xmlns:ns3="5794fa97-a54a-4f8a-81fb-ebdc27eb9654" targetNamespace="http://schemas.microsoft.com/office/2006/metadata/properties" ma:root="true" ma:fieldsID="2404c0bad38872b52a460198b1e29beb" ns1:_="" ns2:_="" ns3:_="">
    <xsd:import namespace="http://schemas.microsoft.com/sharepoint/v3"/>
    <xsd:import namespace="86c96d13-3f4b-48aa-a619-a126d8504f5d"/>
    <xsd:import namespace="5794fa97-a54a-4f8a-81fb-ebdc27eb9654"/>
    <xsd:element name="properties">
      <xsd:complexType>
        <xsd:sequence>
          <xsd:element name="documentManagement">
            <xsd:complexType>
              <xsd:all>
                <xsd:element ref="ns2:d13a9e52c11b42fca553006b5a46d2d8" minOccurs="0"/>
                <xsd:element ref="ns2:TaxCatchAll" minOccurs="0"/>
                <xsd:element ref="ns2:o748408ad332425290ce52b1cb91225b" minOccurs="0"/>
                <xsd:element ref="ns2:k5729fa35dfe4717a44f4f0b00cbb435" minOccurs="0"/>
                <xsd:element ref="ns2:kffe45ab1d90451dbff5c7dfdb92d750" minOccurs="0"/>
                <xsd:element ref="ns1:Comments" minOccurs="0"/>
                <xsd:element ref="ns3:MediaServiceMetadata" minOccurs="0"/>
                <xsd:element ref="ns3:MediaServiceFastMetadata" minOccurs="0"/>
                <xsd:element ref="ns3:MediaServiceSearchProperties" minOccurs="0"/>
                <xsd:element ref="ns3:MediaServiceObjectDetectorVersions" minOccurs="0"/>
                <xsd:element ref="ns2:k6f7b262824142cfa3ce93a992d0a990"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c96d13-3f4b-48aa-a619-a126d8504f5d" elementFormDefault="qualified">
    <xsd:import namespace="http://schemas.microsoft.com/office/2006/documentManagement/types"/>
    <xsd:import namespace="http://schemas.microsoft.com/office/infopath/2007/PartnerControls"/>
    <xsd:element name="d13a9e52c11b42fca553006b5a46d2d8" ma:index="9" ma:taxonomy="true" ma:internalName="d13a9e52c11b42fca553006b5a46d2d8" ma:taxonomyFieldName="Stratus_DocumentType" ma:displayName="Document Type" ma:fieldId="{d13a9e52-c11b-42fc-a553-006b5a46d2d8}"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b058176-8b0d-44f1-be5e-59991f08ec50}" ma:internalName="TaxCatchAll" ma:showField="CatchAllData" ma:web="86c96d13-3f4b-48aa-a619-a126d8504f5d">
      <xsd:complexType>
        <xsd:complexContent>
          <xsd:extension base="dms:MultiChoiceLookup">
            <xsd:sequence>
              <xsd:element name="Value" type="dms:Lookup" maxOccurs="unbounded" minOccurs="0" nillable="true"/>
            </xsd:sequence>
          </xsd:extension>
        </xsd:complexContent>
      </xsd:complexType>
    </xsd:element>
    <xsd:element name="o748408ad332425290ce52b1cb91225b" ma:index="12" nillable="true" ma:taxonomy="true" ma:internalName="o748408ad332425290ce52b1cb91225b" ma:taxonomyFieldName="Stratus_WorkActivity" ma:displayName="Work Activity" ma:fieldId="{8748408a-d332-4252-90ce-52b1cb91225b}"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k5729fa35dfe4717a44f4f0b00cbb435" ma:index="14" ma:taxonomy="true" ma:internalName="k5729fa35dfe4717a44f4f0b00cbb435" ma:taxonomyFieldName="Stratus_SecurityClassification" ma:displayName="Security Classification" ma:fieldId="{45729fa3-5dfe-4717-a44f-4f0b00cbb435}"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kffe45ab1d90451dbff5c7dfdb92d750" ma:index="16" nillable="true" ma:taxonomy="true" ma:internalName="kffe45ab1d90451dbff5c7dfdb92d750" ma:taxonomyFieldName="Stratus_Year" ma:displayName="Year" ma:fieldId="{4ffe45ab-1d90-451d-bff5-c7dfdb92d750}"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k6f7b262824142cfa3ce93a992d0a990" ma:index="23" nillable="true" ma:taxonomy="true" ma:internalName="k6f7b262824142cfa3ce93a992d0a990" ma:taxonomyFieldName="Stratus_OCSProjects" ma:displayName="Project" ma:readOnly="false" ma:default="" ma:fieldId="{46f7b262-8241-42cf-a3ce-93a992d0a990}" ma:sspId="b6206a2c-5ee7-4d50-b3ee-2668e744af9d" ma:termSetId="5492c827-7c54-4bfe-ac29-25887cf1425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94fa97-a54a-4f8a-81fb-ebdc27eb965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6206a2c-5ee7-4d50-b3ee-2668e744af9d"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13a9e52c11b42fca553006b5a46d2d8 xmlns="86c96d13-3f4b-48aa-a619-a126d8504f5d">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bf0cdf49-4b3d-4b71-a0d9-facd60d27320</TermId>
        </TermInfo>
      </Terms>
    </d13a9e52c11b42fca553006b5a46d2d8>
    <o748408ad332425290ce52b1cb91225b xmlns="86c96d13-3f4b-48aa-a619-a126d8504f5d">
      <Terms xmlns="http://schemas.microsoft.com/office/infopath/2007/PartnerControls"/>
    </o748408ad332425290ce52b1cb91225b>
    <kffe45ab1d90451dbff5c7dfdb92d750 xmlns="86c96d13-3f4b-48aa-a619-a126d8504f5d">
      <Terms xmlns="http://schemas.microsoft.com/office/infopath/2007/PartnerControls"/>
    </kffe45ab1d90451dbff5c7dfdb92d750>
    <Comments xmlns="http://schemas.microsoft.com/sharepoint/v3" xsi:nil="true"/>
    <k5729fa35dfe4717a44f4f0b00cbb435 xmlns="86c96d13-3f4b-48aa-a619-a126d8504f5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k5729fa35dfe4717a44f4f0b00cbb435>
    <lcf76f155ced4ddcb4097134ff3c332f xmlns="5794fa97-a54a-4f8a-81fb-ebdc27eb9654">
      <Terms xmlns="http://schemas.microsoft.com/office/infopath/2007/PartnerControls"/>
    </lcf76f155ced4ddcb4097134ff3c332f>
    <TaxCatchAll xmlns="86c96d13-3f4b-48aa-a619-a126d8504f5d">
      <Value>101</Value>
      <Value>2</Value>
      <Value>35</Value>
    </TaxCatchAll>
    <k6f7b262824142cfa3ce93a992d0a990 xmlns="86c96d13-3f4b-48aa-a619-a126d8504f5d">
      <Terms xmlns="http://schemas.microsoft.com/office/infopath/2007/PartnerControls">
        <TermInfo xmlns="http://schemas.microsoft.com/office/infopath/2007/PartnerControls">
          <TermName xmlns="http://schemas.microsoft.com/office/infopath/2007/PartnerControls">Information Resilience</TermName>
          <TermId xmlns="http://schemas.microsoft.com/office/infopath/2007/PartnerControls">6ab54ddf-c636-475d-8db1-0e48c2ba427c</TermId>
        </TermInfo>
      </Terms>
    </k6f7b262824142cfa3ce93a992d0a990>
  </documentManagement>
</p:properties>
</file>

<file path=customXml/itemProps1.xml><?xml version="1.0" encoding="utf-8"?>
<ds:datastoreItem xmlns:ds="http://schemas.openxmlformats.org/officeDocument/2006/customXml" ds:itemID="{DC4B7204-2920-4524-A83D-C32757A01608}">
  <ds:schemaRefs>
    <ds:schemaRef ds:uri="http://schemas.openxmlformats.org/officeDocument/2006/bibliography"/>
  </ds:schemaRefs>
</ds:datastoreItem>
</file>

<file path=customXml/itemProps2.xml><?xml version="1.0" encoding="utf-8"?>
<ds:datastoreItem xmlns:ds="http://schemas.openxmlformats.org/officeDocument/2006/customXml" ds:itemID="{10488151-5185-49B4-A779-30B582C67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c96d13-3f4b-48aa-a619-a126d8504f5d"/>
    <ds:schemaRef ds:uri="5794fa97-a54a-4f8a-81fb-ebdc27eb96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7CDCBA-A166-4E0E-A1D3-3FBEAB748C97}">
  <ds:schemaRefs>
    <ds:schemaRef ds:uri="http://schemas.microsoft.com/sharepoint/v3/contenttype/forms"/>
  </ds:schemaRefs>
</ds:datastoreItem>
</file>

<file path=customXml/itemProps4.xml><?xml version="1.0" encoding="utf-8"?>
<ds:datastoreItem xmlns:ds="http://schemas.openxmlformats.org/officeDocument/2006/customXml" ds:itemID="{F3009711-3151-4749-8E53-81F3702BD03B}">
  <ds:schemaRefs>
    <ds:schemaRef ds:uri="http://schemas.microsoft.com/office/2006/metadata/properties"/>
    <ds:schemaRef ds:uri="http://schemas.microsoft.com/office/infopath/2007/PartnerControls"/>
    <ds:schemaRef ds:uri="86c96d13-3f4b-48aa-a619-a126d8504f5d"/>
    <ds:schemaRef ds:uri="http://schemas.microsoft.com/sharepoint/v3"/>
    <ds:schemaRef ds:uri="5794fa97-a54a-4f8a-81fb-ebdc27eb9654"/>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0</TotalTime>
  <Pages>33</Pages>
  <Words>13856</Words>
  <Characters>86604</Characters>
  <Application>Microsoft Office Word</Application>
  <DocSecurity>0</DocSecurity>
  <Lines>1396</Lines>
  <Paragraphs>431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2026-04-01T01:52:00Z</dcterms:created>
  <dcterms:modified xsi:type="dcterms:W3CDTF">2026-04-01T02:30:00Z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OFFICIAL</vt:lpwstr>
  </property>
  <property fmtid="{D5CDD505-2E9C-101B-9397-08002B2CF9AE}" pid="3" name="Stratus_WorkActivity">
    <vt:lpwstr/>
  </property>
  <property fmtid="{D5CDD505-2E9C-101B-9397-08002B2CF9AE}" pid="4" name="ClassificationContentMarkingHeaderText">
    <vt:lpwstr>OFFICIAL</vt:lpwstr>
  </property>
  <property fmtid="{D5CDD505-2E9C-101B-9397-08002B2CF9AE}" pid="5" name="MediaServiceImageTags">
    <vt:lpwstr/>
  </property>
  <property fmtid="{D5CDD505-2E9C-101B-9397-08002B2CF9AE}" pid="6" name="ContentTypeId">
    <vt:lpwstr>0x0101008569BCF0EAF80040BE1AD7F3298FF28E</vt:lpwstr>
  </property>
  <property fmtid="{D5CDD505-2E9C-101B-9397-08002B2CF9AE}" pid="7" name="ClassificationContentMarkingHeaderFontProps">
    <vt:lpwstr>#c00000,12,Calibri</vt:lpwstr>
  </property>
  <property fmtid="{D5CDD505-2E9C-101B-9397-08002B2CF9AE}" pid="8" name="Stratus_Year">
    <vt:lpwstr/>
  </property>
  <property fmtid="{D5CDD505-2E9C-101B-9397-08002B2CF9AE}" pid="9" name="Stratus_DocumentType">
    <vt:lpwstr>35;#Template|bf0cdf49-4b3d-4b71-a0d9-facd60d27320</vt:lpwstr>
  </property>
  <property fmtid="{D5CDD505-2E9C-101B-9397-08002B2CF9AE}" pid="10" name="docLang">
    <vt:lpwstr>en</vt:lpwstr>
  </property>
  <property fmtid="{D5CDD505-2E9C-101B-9397-08002B2CF9AE}" pid="11" name="Stratus_SecurityClassification">
    <vt:lpwstr>2;#OFFICIAL|1077e141-03cb-4307-8c0f-d43dc85f509f</vt:lpwstr>
  </property>
  <property fmtid="{D5CDD505-2E9C-101B-9397-08002B2CF9AE}" pid="12" name="ClassificationContentMarkingFooterShapeIds">
    <vt:lpwstr>7d6278cd,43dafd49,7f0fddbe</vt:lpwstr>
  </property>
  <property fmtid="{D5CDD505-2E9C-101B-9397-08002B2CF9AE}" pid="13" name="ClassificationContentMarkingHeaderShapeIds">
    <vt:lpwstr>45733aa6,589f49c5,1af92532</vt:lpwstr>
  </property>
  <property fmtid="{D5CDD505-2E9C-101B-9397-08002B2CF9AE}" pid="14" name="ClassificationContentMarkingFooterFontProps">
    <vt:lpwstr>#c00000,12,Calibri</vt:lpwstr>
  </property>
  <property fmtid="{D5CDD505-2E9C-101B-9397-08002B2CF9AE}" pid="15" name="Stratus_OCSProjects">
    <vt:lpwstr>101;#Information Resilience|6ab54ddf-c636-475d-8db1-0e48c2ba427c</vt:lpwstr>
  </property>
</Properties>
</file>