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4C4C4" w14:textId="47ED59C9" w:rsidR="00FD5368" w:rsidRPr="00FD5368" w:rsidRDefault="00FD5368" w:rsidP="00FD5368">
      <w:pPr>
        <w:pStyle w:val="Logo"/>
      </w:pPr>
      <w:bookmarkStart w:id="0" w:name="_Toc211872670"/>
      <w:bookmarkStart w:id="1" w:name="_Toc211872714"/>
      <w:bookmarkStart w:id="2" w:name="_Toc204091414"/>
      <w:bookmarkStart w:id="3" w:name="_Hlk202267515"/>
      <w:r>
        <w:rPr>
          <w:noProof/>
        </w:rPr>
        <w:drawing>
          <wp:inline distT="0" distB="0" distL="0" distR="0" wp14:anchorId="779A51E7" wp14:editId="7644FB9B">
            <wp:extent cx="2178562" cy="528067"/>
            <wp:effectExtent l="0" t="0" r="0" b="5715"/>
            <wp:docPr id="384149268" name="Picture 2" descr="Australian Govern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49268" name="Picture 2" descr="Australian Government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562" cy="528067"/>
                    </a:xfrm>
                    <a:prstGeom prst="rect">
                      <a:avLst/>
                    </a:prstGeom>
                  </pic:spPr>
                </pic:pic>
              </a:graphicData>
            </a:graphic>
          </wp:inline>
        </w:drawing>
      </w:r>
    </w:p>
    <w:p w14:paraId="3086E02C" w14:textId="229023A9" w:rsidR="00F025A3" w:rsidRPr="00FD5368" w:rsidRDefault="00F025A3" w:rsidP="00FD5368">
      <w:pPr>
        <w:pStyle w:val="Heading1"/>
      </w:pPr>
      <w:bookmarkStart w:id="4" w:name="_Toc218505639"/>
      <w:bookmarkStart w:id="5" w:name="_Toc218505751"/>
      <w:bookmarkStart w:id="6" w:name="_Toc218508975"/>
      <w:bookmarkStart w:id="7" w:name="_Toc218511649"/>
      <w:r w:rsidRPr="00FD5368">
        <w:t xml:space="preserve">Information </w:t>
      </w:r>
      <w:r w:rsidR="00CA185F" w:rsidRPr="00FD5368">
        <w:t>r</w:t>
      </w:r>
      <w:r w:rsidRPr="00FD5368">
        <w:t>esilience</w:t>
      </w:r>
      <w:bookmarkEnd w:id="0"/>
      <w:bookmarkEnd w:id="1"/>
      <w:bookmarkEnd w:id="4"/>
      <w:bookmarkEnd w:id="5"/>
      <w:bookmarkEnd w:id="6"/>
      <w:bookmarkEnd w:id="7"/>
      <w:r w:rsidRPr="00FD5368">
        <w:t xml:space="preserve"> </w:t>
      </w:r>
      <w:bookmarkEnd w:id="2"/>
    </w:p>
    <w:p w14:paraId="4152D33F" w14:textId="458E5320" w:rsidR="00C00CEB" w:rsidRPr="00C00CEB" w:rsidRDefault="00CA185F" w:rsidP="00F025A3">
      <w:pPr>
        <w:pStyle w:val="Subtitle"/>
      </w:pPr>
      <w:r>
        <w:t>A framework for misinformation</w:t>
      </w:r>
      <w:r w:rsidR="00887C6D">
        <w:t> </w:t>
      </w:r>
      <w:r>
        <w:t>interventions</w:t>
      </w:r>
      <w:r w:rsidR="00FD5368">
        <w:br/>
      </w:r>
    </w:p>
    <w:p w14:paraId="2EDF3498" w14:textId="77777777" w:rsidR="00FD5368" w:rsidRPr="00E06134" w:rsidRDefault="00FD5368" w:rsidP="00FD5368">
      <w:pPr>
        <w:pStyle w:val="Tagline"/>
      </w:pPr>
      <w:r w:rsidRPr="00E06134">
        <w:t>A report prepared for the </w:t>
      </w:r>
      <w:r w:rsidRPr="00E06134">
        <w:rPr>
          <w:rStyle w:val="Strong"/>
        </w:rPr>
        <w:t>National Science and Technology Council</w:t>
      </w:r>
      <w:r w:rsidRPr="00E06134">
        <w:br w:type="page"/>
      </w:r>
    </w:p>
    <w:p w14:paraId="6F24F0B8" w14:textId="77777777" w:rsidR="001E2A5F" w:rsidRPr="00B86B75" w:rsidRDefault="001E2A5F" w:rsidP="00B72637">
      <w:pPr>
        <w:pStyle w:val="Heading2Prelims"/>
      </w:pPr>
      <w:bookmarkStart w:id="8" w:name="_Toc19023739"/>
      <w:bookmarkStart w:id="9" w:name="_Toc19289802"/>
      <w:bookmarkStart w:id="10" w:name="_Toc144911605"/>
      <w:bookmarkStart w:id="11" w:name="_Toc155191312"/>
      <w:bookmarkStart w:id="12" w:name="_Toc211872671"/>
      <w:bookmarkStart w:id="13" w:name="_Toc211872715"/>
      <w:bookmarkStart w:id="14" w:name="_Toc218505640"/>
      <w:bookmarkStart w:id="15" w:name="_Toc218505752"/>
      <w:bookmarkStart w:id="16" w:name="_Toc218508976"/>
      <w:bookmarkStart w:id="17" w:name="_Toc218511650"/>
      <w:r w:rsidRPr="00B86B75">
        <w:t>Copyright</w:t>
      </w:r>
      <w:bookmarkEnd w:id="8"/>
      <w:bookmarkEnd w:id="9"/>
      <w:bookmarkEnd w:id="10"/>
      <w:bookmarkEnd w:id="11"/>
      <w:bookmarkEnd w:id="12"/>
      <w:bookmarkEnd w:id="13"/>
      <w:bookmarkEnd w:id="14"/>
      <w:bookmarkEnd w:id="15"/>
      <w:bookmarkEnd w:id="16"/>
      <w:bookmarkEnd w:id="17"/>
    </w:p>
    <w:p w14:paraId="7733BAF3" w14:textId="03107B2C" w:rsidR="001E2A5F" w:rsidRPr="0068286F" w:rsidRDefault="001E2A5F" w:rsidP="00333BE7">
      <w:pPr>
        <w:pStyle w:val="Prelims"/>
        <w:rPr>
          <w:rStyle w:val="Strong"/>
        </w:rPr>
      </w:pPr>
      <w:r w:rsidRPr="0068286F">
        <w:rPr>
          <w:rStyle w:val="Strong"/>
        </w:rPr>
        <w:t xml:space="preserve">© Commonwealth of </w:t>
      </w:r>
      <w:r w:rsidRPr="000F2564">
        <w:rPr>
          <w:rStyle w:val="Strong"/>
        </w:rPr>
        <w:t xml:space="preserve">Australia </w:t>
      </w:r>
      <w:r>
        <w:rPr>
          <w:rStyle w:val="Strong"/>
        </w:rPr>
        <w:t>202</w:t>
      </w:r>
      <w:r w:rsidR="00BC33F3">
        <w:rPr>
          <w:rStyle w:val="Strong"/>
        </w:rPr>
        <w:t>6</w:t>
      </w:r>
    </w:p>
    <w:p w14:paraId="16980314" w14:textId="77777777" w:rsidR="001E2A5F" w:rsidRPr="0068286F" w:rsidRDefault="001E2A5F" w:rsidP="00333BE7">
      <w:pPr>
        <w:pStyle w:val="Prelims"/>
        <w:rPr>
          <w:rStyle w:val="Strong"/>
        </w:rPr>
      </w:pPr>
      <w:r w:rsidRPr="0068286F">
        <w:rPr>
          <w:rStyle w:val="Strong"/>
        </w:rPr>
        <w:t>Ownership of intellectual property rights</w:t>
      </w:r>
    </w:p>
    <w:p w14:paraId="60BAC10C" w14:textId="77777777" w:rsidR="001E2A5F" w:rsidRDefault="001E2A5F" w:rsidP="00333BE7">
      <w:pPr>
        <w:pStyle w:val="Prelims"/>
      </w:pPr>
      <w:r>
        <w:t>Unless otherwise noted, copyright (and any other intellectual property rights, if any) in this publication is owned by the Commonwealth of Australia.</w:t>
      </w:r>
    </w:p>
    <w:p w14:paraId="778CDEB2" w14:textId="77777777" w:rsidR="001E2A5F" w:rsidRPr="001D216A" w:rsidRDefault="001E2A5F" w:rsidP="00333BE7">
      <w:pPr>
        <w:pStyle w:val="Prelims"/>
        <w:rPr>
          <w:rStyle w:val="Strong"/>
        </w:rPr>
      </w:pPr>
      <w:r>
        <w:rPr>
          <w:noProof/>
          <w:lang w:eastAsia="en-AU"/>
        </w:rPr>
        <w:drawing>
          <wp:inline distT="0" distB="0" distL="0" distR="0" wp14:anchorId="73F9EFBA" wp14:editId="566EA895">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72483DBC" w14:textId="77777777" w:rsidR="001E2A5F" w:rsidRPr="001D216A" w:rsidRDefault="001E2A5F" w:rsidP="00333BE7">
      <w:pPr>
        <w:pStyle w:val="Prelims"/>
        <w:rPr>
          <w:rStyle w:val="Strong"/>
        </w:rPr>
      </w:pPr>
      <w:hyperlink r:id="rId13" w:history="1">
        <w:r w:rsidRPr="001E0B1D">
          <w:rPr>
            <w:rStyle w:val="Hyperlink"/>
            <w:bCs/>
          </w:rPr>
          <w:t>Creative Commons Attribution 4.0 International Licence CC BY 4.0</w:t>
        </w:r>
      </w:hyperlink>
    </w:p>
    <w:p w14:paraId="587544DD" w14:textId="77777777" w:rsidR="001E2A5F" w:rsidRPr="00CB0998" w:rsidRDefault="001E2A5F" w:rsidP="00CB0998">
      <w:pPr>
        <w:pStyle w:val="Prelims"/>
      </w:pPr>
      <w:r w:rsidRPr="0066416C">
        <w:t>All material in this publication is licensed under a Creative Commons Attribution 4.0 International Licence, with the exception of:</w:t>
      </w:r>
    </w:p>
    <w:p w14:paraId="25DFBDF6" w14:textId="77777777" w:rsidR="001E2A5F" w:rsidRPr="00C66984" w:rsidRDefault="001E2A5F" w:rsidP="00270627">
      <w:pPr>
        <w:pStyle w:val="Prelims"/>
        <w:numPr>
          <w:ilvl w:val="0"/>
          <w:numId w:val="40"/>
        </w:numPr>
        <w:spacing w:before="60" w:after="60"/>
        <w:ind w:left="567" w:hanging="567"/>
      </w:pPr>
      <w:r w:rsidRPr="0066416C">
        <w:t xml:space="preserve">the </w:t>
      </w:r>
      <w:r w:rsidRPr="00C66984">
        <w:t>Commonwealth Coat of Arms</w:t>
      </w:r>
    </w:p>
    <w:p w14:paraId="13873A85" w14:textId="77777777" w:rsidR="001E2A5F" w:rsidRPr="00C66984" w:rsidRDefault="001E2A5F" w:rsidP="00B72637">
      <w:pPr>
        <w:pStyle w:val="Prelims"/>
        <w:numPr>
          <w:ilvl w:val="0"/>
          <w:numId w:val="40"/>
        </w:numPr>
        <w:spacing w:before="60" w:after="60"/>
        <w:ind w:left="567" w:hanging="567"/>
      </w:pPr>
      <w:r w:rsidRPr="00C66984">
        <w:t>content supplied by third parties</w:t>
      </w:r>
    </w:p>
    <w:p w14:paraId="45DCC3FA" w14:textId="77777777" w:rsidR="001E2A5F" w:rsidRPr="00C66984" w:rsidRDefault="001E2A5F" w:rsidP="00B72637">
      <w:pPr>
        <w:pStyle w:val="Prelims"/>
        <w:numPr>
          <w:ilvl w:val="0"/>
          <w:numId w:val="40"/>
        </w:numPr>
        <w:spacing w:before="60" w:after="60"/>
        <w:ind w:left="567" w:hanging="567"/>
      </w:pPr>
      <w:r w:rsidRPr="00C66984">
        <w:t>logos</w:t>
      </w:r>
    </w:p>
    <w:p w14:paraId="4157287C" w14:textId="77777777" w:rsidR="001E2A5F" w:rsidRPr="0066416C" w:rsidRDefault="001E2A5F" w:rsidP="00B72637">
      <w:pPr>
        <w:pStyle w:val="Prelims"/>
        <w:numPr>
          <w:ilvl w:val="0"/>
          <w:numId w:val="40"/>
        </w:numPr>
        <w:spacing w:before="60" w:after="60"/>
        <w:ind w:left="567" w:hanging="567"/>
      </w:pPr>
      <w:r w:rsidRPr="00C66984">
        <w:t>any material protected</w:t>
      </w:r>
      <w:r w:rsidRPr="0066416C">
        <w:t xml:space="preserve"> by trademark or otherwise noted in this publication.</w:t>
      </w:r>
    </w:p>
    <w:p w14:paraId="47B8EEA5" w14:textId="77777777" w:rsidR="001E2A5F" w:rsidRPr="0066416C" w:rsidRDefault="001E2A5F" w:rsidP="00333BE7">
      <w:pPr>
        <w:pStyle w:val="Prelims"/>
      </w:pPr>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4" w:history="1">
        <w:r w:rsidRPr="00DB39DE">
          <w:rPr>
            <w:rStyle w:val="Hyperlink"/>
          </w:rPr>
          <w:t>https://creativecommons.org/licenses/by/4.0/</w:t>
        </w:r>
      </w:hyperlink>
      <w:r w:rsidRPr="0066416C">
        <w:t xml:space="preserve">. The full licence terms are available from </w:t>
      </w:r>
      <w:hyperlink r:id="rId15" w:history="1">
        <w:r w:rsidRPr="00DB39DE">
          <w:rPr>
            <w:rStyle w:val="Hyperlink"/>
          </w:rPr>
          <w:t>https://creativecommons.org/licenses/by/4.0/legalcode</w:t>
        </w:r>
      </w:hyperlink>
      <w:r w:rsidRPr="0066416C">
        <w:t>.</w:t>
      </w:r>
    </w:p>
    <w:p w14:paraId="53FB978B" w14:textId="367ECFFC" w:rsidR="00EB5F42" w:rsidRPr="00EB5F42" w:rsidRDefault="001E2A5F" w:rsidP="00EB5F42">
      <w:pPr>
        <w:pStyle w:val="Prelims"/>
        <w:rPr>
          <w:i/>
          <w:iCs/>
        </w:rPr>
      </w:pPr>
      <w:r>
        <w:t xml:space="preserve">Content contained herein should be attributed </w:t>
      </w:r>
      <w:r w:rsidRPr="004C139B">
        <w:t>as</w:t>
      </w:r>
      <w:r w:rsidR="00EB5F42">
        <w:t>:</w:t>
      </w:r>
      <w:r w:rsidRPr="004C139B">
        <w:t xml:space="preserve"> </w:t>
      </w:r>
      <w:r w:rsidR="00EB5F42" w:rsidRPr="00EB5F42">
        <w:t>Newman EJ, Ecker UKH, O’Neil M and Tay LQ (2026)</w:t>
      </w:r>
      <w:r w:rsidR="00EB5F42" w:rsidRPr="00EB5F42">
        <w:rPr>
          <w:i/>
          <w:iCs/>
        </w:rPr>
        <w:t xml:space="preserve"> Information Resilience: </w:t>
      </w:r>
      <w:r w:rsidR="00E93220">
        <w:rPr>
          <w:i/>
          <w:iCs/>
        </w:rPr>
        <w:t>a</w:t>
      </w:r>
      <w:r w:rsidR="00EB5F42" w:rsidRPr="00EB5F42">
        <w:rPr>
          <w:i/>
          <w:iCs/>
        </w:rPr>
        <w:t xml:space="preserve"> framework for misinformation interventions, </w:t>
      </w:r>
      <w:r w:rsidR="00EB5F42" w:rsidRPr="00EB5F42">
        <w:t>report to the National Science and Technology Council, Australian Government Office of the Chief Scientist.</w:t>
      </w:r>
    </w:p>
    <w:p w14:paraId="746F7C21" w14:textId="77777777" w:rsidR="001E2A5F" w:rsidRPr="00333BE7" w:rsidRDefault="001E2A5F" w:rsidP="00333BE7">
      <w:pPr>
        <w:pStyle w:val="Prelims"/>
      </w:pPr>
      <w:r w:rsidRPr="00333BE7">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51AE4272" w14:textId="77777777" w:rsidR="0053027F" w:rsidRPr="00B86B75" w:rsidRDefault="0053027F" w:rsidP="00B72637">
      <w:pPr>
        <w:pStyle w:val="Heading2Prelims"/>
      </w:pPr>
      <w:bookmarkStart w:id="18" w:name="_Toc155191314"/>
      <w:bookmarkStart w:id="19" w:name="_Toc211872672"/>
      <w:bookmarkStart w:id="20" w:name="_Toc211872716"/>
      <w:bookmarkStart w:id="21" w:name="_Toc218505641"/>
      <w:bookmarkStart w:id="22" w:name="_Toc218505753"/>
      <w:bookmarkStart w:id="23" w:name="_Toc218508977"/>
      <w:bookmarkStart w:id="24" w:name="_Toc218511651"/>
      <w:r w:rsidRPr="00B86B75">
        <w:t>Disclaimer</w:t>
      </w:r>
      <w:bookmarkEnd w:id="18"/>
      <w:bookmarkEnd w:id="19"/>
      <w:bookmarkEnd w:id="20"/>
      <w:bookmarkEnd w:id="21"/>
      <w:bookmarkEnd w:id="22"/>
      <w:bookmarkEnd w:id="23"/>
      <w:bookmarkEnd w:id="24"/>
    </w:p>
    <w:p w14:paraId="2537F505" w14:textId="0A0BA220" w:rsidR="0053027F" w:rsidRPr="004C139B" w:rsidRDefault="0053027F" w:rsidP="00333BE7">
      <w:pPr>
        <w:pStyle w:val="Prelims"/>
      </w:pPr>
      <w:r w:rsidRPr="004C139B">
        <w:t xml:space="preserve">The purpose of this publication is to </w:t>
      </w:r>
      <w:r w:rsidR="00EB4465" w:rsidRPr="00413BE1">
        <w:t xml:space="preserve">provide an evidence </w:t>
      </w:r>
      <w:proofErr w:type="spellStart"/>
      <w:r w:rsidR="00EB4465" w:rsidRPr="00413BE1">
        <w:t>base</w:t>
      </w:r>
      <w:proofErr w:type="spellEnd"/>
      <w:r w:rsidR="00EB4465" w:rsidRPr="00413BE1">
        <w:t xml:space="preserve"> on information resilience for policy makers.</w:t>
      </w:r>
    </w:p>
    <w:p w14:paraId="6EBF7FFA" w14:textId="77777777" w:rsidR="0053027F" w:rsidRDefault="0053027F" w:rsidP="00333BE7">
      <w:pPr>
        <w:pStyle w:val="Prelims"/>
      </w:pPr>
      <w:r w:rsidRPr="004C139B">
        <w:t>The Commonwealth as represented by the Department of Industry, Science and Resources has exercised due care and skill in the preparation and compilation</w:t>
      </w:r>
      <w:r>
        <w:t xml:space="preserve"> of the information in this publication.</w:t>
      </w:r>
    </w:p>
    <w:p w14:paraId="439D9EBE" w14:textId="77777777" w:rsidR="0053027F" w:rsidRDefault="0053027F" w:rsidP="00333BE7">
      <w:pPr>
        <w:pStyle w:val="Prelims"/>
      </w:pPr>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45BF6A9E" w14:textId="77777777" w:rsidR="007E166C" w:rsidRDefault="0053027F" w:rsidP="00333BE7">
      <w:pPr>
        <w:pStyle w:val="Prelims"/>
      </w:pPr>
      <w: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5B69F707" w14:textId="77777777" w:rsidR="007E166C" w:rsidRPr="007E166C" w:rsidRDefault="007E166C" w:rsidP="007E166C">
      <w:pPr>
        <w:pStyle w:val="Heading2Prelims"/>
      </w:pPr>
      <w:bookmarkStart w:id="25" w:name="_Toc218508978"/>
      <w:bookmarkStart w:id="26" w:name="_Toc218511652"/>
      <w:r w:rsidRPr="007E166C">
        <w:t>Authors</w:t>
      </w:r>
      <w:bookmarkEnd w:id="25"/>
      <w:bookmarkEnd w:id="26"/>
    </w:p>
    <w:p w14:paraId="0B36BA43" w14:textId="77777777" w:rsidR="007E166C" w:rsidRDefault="007E166C" w:rsidP="007E166C">
      <w:pPr>
        <w:pStyle w:val="Prelims"/>
      </w:pPr>
      <w:r>
        <w:rPr>
          <w:rStyle w:val="Strong"/>
        </w:rPr>
        <w:t xml:space="preserve">Associate </w:t>
      </w:r>
      <w:r w:rsidRPr="00772DAF">
        <w:rPr>
          <w:rStyle w:val="Strong"/>
        </w:rPr>
        <w:t>Professor Eryn Newman</w:t>
      </w:r>
      <w:r>
        <w:t xml:space="preserve">, Australian National University </w:t>
      </w:r>
    </w:p>
    <w:p w14:paraId="4D945356" w14:textId="77777777" w:rsidR="007E166C" w:rsidRDefault="007E166C" w:rsidP="007E166C">
      <w:pPr>
        <w:pStyle w:val="Prelims"/>
      </w:pPr>
      <w:r w:rsidRPr="00772DAF">
        <w:rPr>
          <w:rStyle w:val="Strong"/>
        </w:rPr>
        <w:t>Professor Ullrich Ecker,</w:t>
      </w:r>
      <w:r>
        <w:t xml:space="preserve"> University of Western Australia </w:t>
      </w:r>
    </w:p>
    <w:p w14:paraId="4E4DF085" w14:textId="77777777" w:rsidR="007E166C" w:rsidRDefault="007E166C" w:rsidP="007E166C">
      <w:pPr>
        <w:pStyle w:val="Prelims"/>
      </w:pPr>
      <w:r w:rsidRPr="00772DAF">
        <w:rPr>
          <w:rStyle w:val="Strong"/>
        </w:rPr>
        <w:t>Professor Mathieu O’Neil,</w:t>
      </w:r>
      <w:r>
        <w:t xml:space="preserve"> University of Canberra </w:t>
      </w:r>
    </w:p>
    <w:p w14:paraId="312D7CF9" w14:textId="68B3CC36" w:rsidR="00E641F3" w:rsidRPr="00333BE7" w:rsidRDefault="007E166C" w:rsidP="00333BE7">
      <w:pPr>
        <w:pStyle w:val="Prelims"/>
      </w:pPr>
      <w:r>
        <w:rPr>
          <w:rStyle w:val="Strong"/>
        </w:rPr>
        <w:t xml:space="preserve">Dr </w:t>
      </w:r>
      <w:r w:rsidRPr="00772DAF">
        <w:rPr>
          <w:rStyle w:val="Strong"/>
        </w:rPr>
        <w:t>Li Qian Tay,</w:t>
      </w:r>
      <w:r>
        <w:t xml:space="preserve"> Australian National University </w:t>
      </w:r>
      <w:r w:rsidR="00E641F3">
        <w:br w:type="page"/>
      </w:r>
    </w:p>
    <w:bookmarkStart w:id="27" w:name="_Toc218511653" w:displacedByCustomXml="next"/>
    <w:bookmarkStart w:id="28" w:name="_Toc218505642" w:displacedByCustomXml="next"/>
    <w:bookmarkStart w:id="29" w:name="_Toc218505754" w:displacedByCustomXml="next"/>
    <w:bookmarkStart w:id="30" w:name="_Toc218508979" w:displacedByCustomXml="next"/>
    <w:bookmarkStart w:id="31" w:name="_Toc204091415" w:displacedByCustomXml="next"/>
    <w:sdt>
      <w:sdtPr>
        <w:rPr>
          <w:rFonts w:asciiTheme="minorHAnsi" w:eastAsiaTheme="minorEastAsia" w:hAnsiTheme="minorHAnsi" w:cstheme="minorBidi"/>
          <w:color w:val="auto"/>
          <w:sz w:val="20"/>
          <w:szCs w:val="20"/>
        </w:rPr>
        <w:id w:val="-86616047"/>
        <w:docPartObj>
          <w:docPartGallery w:val="Table of Contents"/>
          <w:docPartUnique/>
        </w:docPartObj>
      </w:sdtPr>
      <w:sdtEndPr>
        <w:rPr>
          <w:b/>
          <w:bCs/>
          <w:noProof/>
          <w:sz w:val="24"/>
          <w:szCs w:val="24"/>
        </w:rPr>
      </w:sdtEndPr>
      <w:sdtContent>
        <w:p w14:paraId="1D7E4B9D" w14:textId="6D8E0BE9" w:rsidR="00165101" w:rsidRDefault="00165101" w:rsidP="00F41308">
          <w:pPr>
            <w:pStyle w:val="Heading2"/>
          </w:pPr>
          <w:r>
            <w:t>Contents</w:t>
          </w:r>
          <w:bookmarkEnd w:id="30"/>
          <w:bookmarkEnd w:id="29"/>
          <w:bookmarkEnd w:id="28"/>
          <w:bookmarkEnd w:id="27"/>
        </w:p>
        <w:p w14:paraId="7784CE37" w14:textId="603EDEB4" w:rsidR="00F777C6" w:rsidRDefault="00165101">
          <w:pPr>
            <w:pStyle w:val="TOC2"/>
            <w:rPr>
              <w:rFonts w:asciiTheme="minorHAnsi" w:eastAsiaTheme="minorEastAsia" w:hAnsiTheme="minorHAnsi"/>
              <w:color w:val="auto"/>
              <w:kern w:val="2"/>
              <w:szCs w:val="24"/>
              <w:lang w:eastAsia="en-AU"/>
              <w14:ligatures w14:val="standardContextual"/>
            </w:rPr>
          </w:pPr>
          <w:r>
            <w:rPr>
              <w:noProof w:val="0"/>
            </w:rPr>
            <w:fldChar w:fldCharType="begin"/>
          </w:r>
          <w:r>
            <w:instrText xml:space="preserve"> TOC \o "1-3" \h \z \u </w:instrText>
          </w:r>
          <w:r>
            <w:rPr>
              <w:noProof w:val="0"/>
            </w:rPr>
            <w:fldChar w:fldCharType="separate"/>
          </w:r>
          <w:hyperlink w:anchor="_Toc218511654" w:history="1">
            <w:r w:rsidR="00F777C6" w:rsidRPr="00F82A68">
              <w:rPr>
                <w:rStyle w:val="Hyperlink"/>
              </w:rPr>
              <w:t>Executive summary</w:t>
            </w:r>
            <w:r w:rsidR="00F777C6">
              <w:rPr>
                <w:webHidden/>
              </w:rPr>
              <w:tab/>
            </w:r>
            <w:r w:rsidR="00F777C6">
              <w:rPr>
                <w:webHidden/>
              </w:rPr>
              <w:fldChar w:fldCharType="begin"/>
            </w:r>
            <w:r w:rsidR="00F777C6">
              <w:rPr>
                <w:webHidden/>
              </w:rPr>
              <w:instrText xml:space="preserve"> PAGEREF _Toc218511654 \h </w:instrText>
            </w:r>
            <w:r w:rsidR="00F777C6">
              <w:rPr>
                <w:webHidden/>
              </w:rPr>
            </w:r>
            <w:r w:rsidR="00F777C6">
              <w:rPr>
                <w:webHidden/>
              </w:rPr>
              <w:fldChar w:fldCharType="separate"/>
            </w:r>
            <w:r w:rsidR="00545605">
              <w:rPr>
                <w:webHidden/>
              </w:rPr>
              <w:t>4</w:t>
            </w:r>
            <w:r w:rsidR="00F777C6">
              <w:rPr>
                <w:webHidden/>
              </w:rPr>
              <w:fldChar w:fldCharType="end"/>
            </w:r>
          </w:hyperlink>
        </w:p>
        <w:p w14:paraId="1CE96AE4" w14:textId="2C05B513"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58" w:history="1">
            <w:r w:rsidRPr="00F82A68">
              <w:rPr>
                <w:rStyle w:val="Hyperlink"/>
              </w:rPr>
              <w:t>Introduction</w:t>
            </w:r>
            <w:r>
              <w:rPr>
                <w:webHidden/>
              </w:rPr>
              <w:tab/>
            </w:r>
            <w:r>
              <w:rPr>
                <w:webHidden/>
              </w:rPr>
              <w:fldChar w:fldCharType="begin"/>
            </w:r>
            <w:r>
              <w:rPr>
                <w:webHidden/>
              </w:rPr>
              <w:instrText xml:space="preserve"> PAGEREF _Toc218511658 \h </w:instrText>
            </w:r>
            <w:r>
              <w:rPr>
                <w:webHidden/>
              </w:rPr>
            </w:r>
            <w:r>
              <w:rPr>
                <w:webHidden/>
              </w:rPr>
              <w:fldChar w:fldCharType="separate"/>
            </w:r>
            <w:r w:rsidR="00545605">
              <w:rPr>
                <w:webHidden/>
              </w:rPr>
              <w:t>5</w:t>
            </w:r>
            <w:r>
              <w:rPr>
                <w:webHidden/>
              </w:rPr>
              <w:fldChar w:fldCharType="end"/>
            </w:r>
          </w:hyperlink>
        </w:p>
        <w:p w14:paraId="24069E03" w14:textId="675BDA41"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61" w:history="1">
            <w:r w:rsidRPr="00F82A68">
              <w:rPr>
                <w:rStyle w:val="Hyperlink"/>
              </w:rPr>
              <w:t>1</w:t>
            </w:r>
            <w:r>
              <w:rPr>
                <w:rFonts w:asciiTheme="minorHAnsi" w:eastAsiaTheme="minorEastAsia" w:hAnsiTheme="minorHAnsi"/>
                <w:color w:val="auto"/>
                <w:kern w:val="2"/>
                <w:szCs w:val="24"/>
                <w:lang w:eastAsia="en-AU"/>
                <w14:ligatures w14:val="standardContextual"/>
              </w:rPr>
              <w:tab/>
            </w:r>
            <w:r w:rsidRPr="00F82A68">
              <w:rPr>
                <w:rStyle w:val="Hyperlink"/>
              </w:rPr>
              <w:t>Pre-emptive interventions</w:t>
            </w:r>
            <w:r>
              <w:rPr>
                <w:webHidden/>
              </w:rPr>
              <w:tab/>
            </w:r>
            <w:r>
              <w:rPr>
                <w:webHidden/>
              </w:rPr>
              <w:fldChar w:fldCharType="begin"/>
            </w:r>
            <w:r>
              <w:rPr>
                <w:webHidden/>
              </w:rPr>
              <w:instrText xml:space="preserve"> PAGEREF _Toc218511661 \h </w:instrText>
            </w:r>
            <w:r>
              <w:rPr>
                <w:webHidden/>
              </w:rPr>
            </w:r>
            <w:r>
              <w:rPr>
                <w:webHidden/>
              </w:rPr>
              <w:fldChar w:fldCharType="separate"/>
            </w:r>
            <w:r w:rsidR="00545605">
              <w:rPr>
                <w:webHidden/>
              </w:rPr>
              <w:t>8</w:t>
            </w:r>
            <w:r>
              <w:rPr>
                <w:webHidden/>
              </w:rPr>
              <w:fldChar w:fldCharType="end"/>
            </w:r>
          </w:hyperlink>
        </w:p>
        <w:p w14:paraId="2CE8A97D" w14:textId="3A2CE824"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62" w:history="1">
            <w:r w:rsidRPr="00F82A68">
              <w:rPr>
                <w:rStyle w:val="Hyperlink"/>
              </w:rPr>
              <w:t>1.1</w:t>
            </w:r>
            <w:r>
              <w:rPr>
                <w:rFonts w:eastAsiaTheme="minorEastAsia"/>
                <w:kern w:val="2"/>
                <w:szCs w:val="24"/>
                <w:lang w:eastAsia="en-AU"/>
                <w14:ligatures w14:val="standardContextual"/>
              </w:rPr>
              <w:tab/>
            </w:r>
            <w:r w:rsidRPr="00F82A68">
              <w:rPr>
                <w:rStyle w:val="Hyperlink"/>
              </w:rPr>
              <w:t>Competencies developed through long-term interventions (education curriculum through to community programs)</w:t>
            </w:r>
            <w:r>
              <w:rPr>
                <w:webHidden/>
              </w:rPr>
              <w:tab/>
            </w:r>
            <w:r>
              <w:rPr>
                <w:webHidden/>
              </w:rPr>
              <w:fldChar w:fldCharType="begin"/>
            </w:r>
            <w:r>
              <w:rPr>
                <w:webHidden/>
              </w:rPr>
              <w:instrText xml:space="preserve"> PAGEREF _Toc218511662 \h </w:instrText>
            </w:r>
            <w:r>
              <w:rPr>
                <w:webHidden/>
              </w:rPr>
            </w:r>
            <w:r>
              <w:rPr>
                <w:webHidden/>
              </w:rPr>
              <w:fldChar w:fldCharType="separate"/>
            </w:r>
            <w:r w:rsidR="00545605">
              <w:rPr>
                <w:webHidden/>
              </w:rPr>
              <w:t>8</w:t>
            </w:r>
            <w:r>
              <w:rPr>
                <w:webHidden/>
              </w:rPr>
              <w:fldChar w:fldCharType="end"/>
            </w:r>
          </w:hyperlink>
        </w:p>
        <w:p w14:paraId="74BAF66D" w14:textId="63AD9C37"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63" w:history="1">
            <w:r w:rsidRPr="00F82A68">
              <w:rPr>
                <w:rStyle w:val="Hyperlink"/>
              </w:rPr>
              <w:t>1.2</w:t>
            </w:r>
            <w:r>
              <w:rPr>
                <w:rFonts w:eastAsiaTheme="minorEastAsia"/>
                <w:kern w:val="2"/>
                <w:szCs w:val="24"/>
                <w:lang w:eastAsia="en-AU"/>
                <w14:ligatures w14:val="standardContextual"/>
              </w:rPr>
              <w:tab/>
            </w:r>
            <w:r w:rsidRPr="00F82A68">
              <w:rPr>
                <w:rStyle w:val="Hyperlink"/>
              </w:rPr>
              <w:t>Information literacy: improving verification</w:t>
            </w:r>
            <w:r>
              <w:rPr>
                <w:webHidden/>
              </w:rPr>
              <w:tab/>
            </w:r>
            <w:r>
              <w:rPr>
                <w:webHidden/>
              </w:rPr>
              <w:fldChar w:fldCharType="begin"/>
            </w:r>
            <w:r>
              <w:rPr>
                <w:webHidden/>
              </w:rPr>
              <w:instrText xml:space="preserve"> PAGEREF _Toc218511663 \h </w:instrText>
            </w:r>
            <w:r>
              <w:rPr>
                <w:webHidden/>
              </w:rPr>
            </w:r>
            <w:r>
              <w:rPr>
                <w:webHidden/>
              </w:rPr>
              <w:fldChar w:fldCharType="separate"/>
            </w:r>
            <w:r w:rsidR="00545605">
              <w:rPr>
                <w:webHidden/>
              </w:rPr>
              <w:t>8</w:t>
            </w:r>
            <w:r>
              <w:rPr>
                <w:webHidden/>
              </w:rPr>
              <w:fldChar w:fldCharType="end"/>
            </w:r>
          </w:hyperlink>
        </w:p>
        <w:p w14:paraId="438CA184" w14:textId="3CAAF09A"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64" w:history="1">
            <w:r w:rsidRPr="00F82A68">
              <w:rPr>
                <w:rStyle w:val="Hyperlink"/>
              </w:rPr>
              <w:t>1.3</w:t>
            </w:r>
            <w:r>
              <w:rPr>
                <w:rFonts w:eastAsiaTheme="minorEastAsia"/>
                <w:kern w:val="2"/>
                <w:szCs w:val="24"/>
                <w:lang w:eastAsia="en-AU"/>
                <w14:ligatures w14:val="standardContextual"/>
              </w:rPr>
              <w:tab/>
            </w:r>
            <w:r w:rsidRPr="00F82A68">
              <w:rPr>
                <w:rStyle w:val="Hyperlink"/>
              </w:rPr>
              <w:t>Media and digital literacy: improving understanding</w:t>
            </w:r>
            <w:r>
              <w:rPr>
                <w:webHidden/>
              </w:rPr>
              <w:tab/>
            </w:r>
            <w:r>
              <w:rPr>
                <w:webHidden/>
              </w:rPr>
              <w:fldChar w:fldCharType="begin"/>
            </w:r>
            <w:r>
              <w:rPr>
                <w:webHidden/>
              </w:rPr>
              <w:instrText xml:space="preserve"> PAGEREF _Toc218511664 \h </w:instrText>
            </w:r>
            <w:r>
              <w:rPr>
                <w:webHidden/>
              </w:rPr>
            </w:r>
            <w:r>
              <w:rPr>
                <w:webHidden/>
              </w:rPr>
              <w:fldChar w:fldCharType="separate"/>
            </w:r>
            <w:r w:rsidR="00545605">
              <w:rPr>
                <w:webHidden/>
              </w:rPr>
              <w:t>10</w:t>
            </w:r>
            <w:r>
              <w:rPr>
                <w:webHidden/>
              </w:rPr>
              <w:fldChar w:fldCharType="end"/>
            </w:r>
          </w:hyperlink>
        </w:p>
        <w:p w14:paraId="051D30C7" w14:textId="52BA93A4"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65" w:history="1">
            <w:r w:rsidRPr="00F82A68">
              <w:rPr>
                <w:rStyle w:val="Hyperlink"/>
              </w:rPr>
              <w:t>1.4</w:t>
            </w:r>
            <w:r>
              <w:rPr>
                <w:rFonts w:eastAsiaTheme="minorEastAsia"/>
                <w:kern w:val="2"/>
                <w:szCs w:val="24"/>
                <w:lang w:eastAsia="en-AU"/>
                <w14:ligatures w14:val="standardContextual"/>
              </w:rPr>
              <w:tab/>
            </w:r>
            <w:r w:rsidRPr="00F82A68">
              <w:rPr>
                <w:rStyle w:val="Hyperlink"/>
              </w:rPr>
              <w:t>Competencies targeted in brief interventions (information environment interventions)</w:t>
            </w:r>
            <w:r>
              <w:rPr>
                <w:webHidden/>
              </w:rPr>
              <w:tab/>
            </w:r>
            <w:r>
              <w:rPr>
                <w:webHidden/>
              </w:rPr>
              <w:fldChar w:fldCharType="begin"/>
            </w:r>
            <w:r>
              <w:rPr>
                <w:webHidden/>
              </w:rPr>
              <w:instrText xml:space="preserve"> PAGEREF _Toc218511665 \h </w:instrText>
            </w:r>
            <w:r>
              <w:rPr>
                <w:webHidden/>
              </w:rPr>
            </w:r>
            <w:r>
              <w:rPr>
                <w:webHidden/>
              </w:rPr>
              <w:fldChar w:fldCharType="separate"/>
            </w:r>
            <w:r w:rsidR="00545605">
              <w:rPr>
                <w:webHidden/>
              </w:rPr>
              <w:t>14</w:t>
            </w:r>
            <w:r>
              <w:rPr>
                <w:webHidden/>
              </w:rPr>
              <w:fldChar w:fldCharType="end"/>
            </w:r>
          </w:hyperlink>
        </w:p>
        <w:p w14:paraId="4BE50461" w14:textId="5E7612D0"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66" w:history="1">
            <w:r w:rsidRPr="00F82A68">
              <w:rPr>
                <w:rStyle w:val="Hyperlink"/>
              </w:rPr>
              <w:t>1.5</w:t>
            </w:r>
            <w:r>
              <w:rPr>
                <w:rFonts w:eastAsiaTheme="minorEastAsia"/>
                <w:kern w:val="2"/>
                <w:szCs w:val="24"/>
                <w:lang w:eastAsia="en-AU"/>
                <w14:ligatures w14:val="standardContextual"/>
              </w:rPr>
              <w:tab/>
            </w:r>
            <w:r w:rsidRPr="00F82A68">
              <w:rPr>
                <w:rStyle w:val="Hyperlink"/>
              </w:rPr>
              <w:t>Prebunking (fact-based and logic-based)</w:t>
            </w:r>
            <w:r>
              <w:rPr>
                <w:webHidden/>
              </w:rPr>
              <w:tab/>
            </w:r>
            <w:r>
              <w:rPr>
                <w:webHidden/>
              </w:rPr>
              <w:fldChar w:fldCharType="begin"/>
            </w:r>
            <w:r>
              <w:rPr>
                <w:webHidden/>
              </w:rPr>
              <w:instrText xml:space="preserve"> PAGEREF _Toc218511666 \h </w:instrText>
            </w:r>
            <w:r>
              <w:rPr>
                <w:webHidden/>
              </w:rPr>
            </w:r>
            <w:r>
              <w:rPr>
                <w:webHidden/>
              </w:rPr>
              <w:fldChar w:fldCharType="separate"/>
            </w:r>
            <w:r w:rsidR="00545605">
              <w:rPr>
                <w:webHidden/>
              </w:rPr>
              <w:t>14</w:t>
            </w:r>
            <w:r>
              <w:rPr>
                <w:webHidden/>
              </w:rPr>
              <w:fldChar w:fldCharType="end"/>
            </w:r>
          </w:hyperlink>
        </w:p>
        <w:p w14:paraId="2BE5DF05" w14:textId="3CB254ED"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67" w:history="1">
            <w:r w:rsidRPr="00F82A68">
              <w:rPr>
                <w:rStyle w:val="Hyperlink"/>
              </w:rPr>
              <w:t>1.6</w:t>
            </w:r>
            <w:r>
              <w:rPr>
                <w:rFonts w:eastAsiaTheme="minorEastAsia"/>
                <w:kern w:val="2"/>
                <w:szCs w:val="24"/>
                <w:lang w:eastAsia="en-AU"/>
                <w14:ligatures w14:val="standardContextual"/>
              </w:rPr>
              <w:tab/>
            </w:r>
            <w:r w:rsidRPr="00F82A68">
              <w:rPr>
                <w:rStyle w:val="Hyperlink"/>
              </w:rPr>
              <w:t>Embedded media-literacy tips</w:t>
            </w:r>
            <w:r>
              <w:rPr>
                <w:webHidden/>
              </w:rPr>
              <w:tab/>
            </w:r>
            <w:r>
              <w:rPr>
                <w:webHidden/>
              </w:rPr>
              <w:fldChar w:fldCharType="begin"/>
            </w:r>
            <w:r>
              <w:rPr>
                <w:webHidden/>
              </w:rPr>
              <w:instrText xml:space="preserve"> PAGEREF _Toc218511667 \h </w:instrText>
            </w:r>
            <w:r>
              <w:rPr>
                <w:webHidden/>
              </w:rPr>
            </w:r>
            <w:r>
              <w:rPr>
                <w:webHidden/>
              </w:rPr>
              <w:fldChar w:fldCharType="separate"/>
            </w:r>
            <w:r w:rsidR="00545605">
              <w:rPr>
                <w:webHidden/>
              </w:rPr>
              <w:t>16</w:t>
            </w:r>
            <w:r>
              <w:rPr>
                <w:webHidden/>
              </w:rPr>
              <w:fldChar w:fldCharType="end"/>
            </w:r>
          </w:hyperlink>
        </w:p>
        <w:p w14:paraId="2CA99E3B" w14:textId="4BF50004"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68" w:history="1">
            <w:r w:rsidRPr="00F82A68">
              <w:rPr>
                <w:rStyle w:val="Hyperlink"/>
              </w:rPr>
              <w:t>2</w:t>
            </w:r>
            <w:r>
              <w:rPr>
                <w:rFonts w:asciiTheme="minorHAnsi" w:eastAsiaTheme="minorEastAsia" w:hAnsiTheme="minorHAnsi"/>
                <w:color w:val="auto"/>
                <w:kern w:val="2"/>
                <w:szCs w:val="24"/>
                <w:lang w:eastAsia="en-AU"/>
                <w14:ligatures w14:val="standardContextual"/>
              </w:rPr>
              <w:tab/>
            </w:r>
            <w:r w:rsidRPr="00F82A68">
              <w:rPr>
                <w:rStyle w:val="Hyperlink"/>
              </w:rPr>
              <w:t>Responsive interventions</w:t>
            </w:r>
            <w:r>
              <w:rPr>
                <w:webHidden/>
              </w:rPr>
              <w:tab/>
            </w:r>
            <w:r>
              <w:rPr>
                <w:webHidden/>
              </w:rPr>
              <w:fldChar w:fldCharType="begin"/>
            </w:r>
            <w:r>
              <w:rPr>
                <w:webHidden/>
              </w:rPr>
              <w:instrText xml:space="preserve"> PAGEREF _Toc218511668 \h </w:instrText>
            </w:r>
            <w:r>
              <w:rPr>
                <w:webHidden/>
              </w:rPr>
            </w:r>
            <w:r>
              <w:rPr>
                <w:webHidden/>
              </w:rPr>
              <w:fldChar w:fldCharType="separate"/>
            </w:r>
            <w:r w:rsidR="00545605">
              <w:rPr>
                <w:webHidden/>
              </w:rPr>
              <w:t>18</w:t>
            </w:r>
            <w:r>
              <w:rPr>
                <w:webHidden/>
              </w:rPr>
              <w:fldChar w:fldCharType="end"/>
            </w:r>
          </w:hyperlink>
        </w:p>
        <w:p w14:paraId="022807FE" w14:textId="2154362B"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69" w:history="1">
            <w:r w:rsidRPr="00F82A68">
              <w:rPr>
                <w:rStyle w:val="Hyperlink"/>
              </w:rPr>
              <w:t>2.1</w:t>
            </w:r>
            <w:r>
              <w:rPr>
                <w:rFonts w:eastAsiaTheme="minorEastAsia"/>
                <w:kern w:val="2"/>
                <w:szCs w:val="24"/>
                <w:lang w:eastAsia="en-AU"/>
                <w14:ligatures w14:val="standardContextual"/>
              </w:rPr>
              <w:tab/>
            </w:r>
            <w:r w:rsidRPr="00F82A68">
              <w:rPr>
                <w:rStyle w:val="Hyperlink"/>
              </w:rPr>
              <w:t>Debunking</w:t>
            </w:r>
            <w:r>
              <w:rPr>
                <w:webHidden/>
              </w:rPr>
              <w:tab/>
            </w:r>
            <w:r>
              <w:rPr>
                <w:webHidden/>
              </w:rPr>
              <w:fldChar w:fldCharType="begin"/>
            </w:r>
            <w:r>
              <w:rPr>
                <w:webHidden/>
              </w:rPr>
              <w:instrText xml:space="preserve"> PAGEREF _Toc218511669 \h </w:instrText>
            </w:r>
            <w:r>
              <w:rPr>
                <w:webHidden/>
              </w:rPr>
            </w:r>
            <w:r>
              <w:rPr>
                <w:webHidden/>
              </w:rPr>
              <w:fldChar w:fldCharType="separate"/>
            </w:r>
            <w:r w:rsidR="00545605">
              <w:rPr>
                <w:webHidden/>
              </w:rPr>
              <w:t>18</w:t>
            </w:r>
            <w:r>
              <w:rPr>
                <w:webHidden/>
              </w:rPr>
              <w:fldChar w:fldCharType="end"/>
            </w:r>
          </w:hyperlink>
        </w:p>
        <w:p w14:paraId="54C7447C" w14:textId="53716028"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70" w:history="1">
            <w:r w:rsidRPr="00F82A68">
              <w:rPr>
                <w:rStyle w:val="Hyperlink"/>
              </w:rPr>
              <w:t>2.2</w:t>
            </w:r>
            <w:r>
              <w:rPr>
                <w:rFonts w:eastAsiaTheme="minorEastAsia"/>
                <w:kern w:val="2"/>
                <w:szCs w:val="24"/>
                <w:lang w:eastAsia="en-AU"/>
                <w14:ligatures w14:val="standardContextual"/>
              </w:rPr>
              <w:tab/>
            </w:r>
            <w:r w:rsidRPr="00F82A68">
              <w:rPr>
                <w:rStyle w:val="Hyperlink"/>
              </w:rPr>
              <w:t>Source discreditation</w:t>
            </w:r>
            <w:r>
              <w:rPr>
                <w:webHidden/>
              </w:rPr>
              <w:tab/>
            </w:r>
            <w:r>
              <w:rPr>
                <w:webHidden/>
              </w:rPr>
              <w:fldChar w:fldCharType="begin"/>
            </w:r>
            <w:r>
              <w:rPr>
                <w:webHidden/>
              </w:rPr>
              <w:instrText xml:space="preserve"> PAGEREF _Toc218511670 \h </w:instrText>
            </w:r>
            <w:r>
              <w:rPr>
                <w:webHidden/>
              </w:rPr>
            </w:r>
            <w:r>
              <w:rPr>
                <w:webHidden/>
              </w:rPr>
              <w:fldChar w:fldCharType="separate"/>
            </w:r>
            <w:r w:rsidR="00545605">
              <w:rPr>
                <w:webHidden/>
              </w:rPr>
              <w:t>21</w:t>
            </w:r>
            <w:r>
              <w:rPr>
                <w:webHidden/>
              </w:rPr>
              <w:fldChar w:fldCharType="end"/>
            </w:r>
          </w:hyperlink>
        </w:p>
        <w:p w14:paraId="7B9B1F23" w14:textId="6715F129"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71" w:history="1">
            <w:r w:rsidRPr="00F82A68">
              <w:rPr>
                <w:rStyle w:val="Hyperlink"/>
              </w:rPr>
              <w:t>2.3</w:t>
            </w:r>
            <w:r>
              <w:rPr>
                <w:rFonts w:eastAsiaTheme="minorEastAsia"/>
                <w:kern w:val="2"/>
                <w:szCs w:val="24"/>
                <w:lang w:eastAsia="en-AU"/>
                <w14:ligatures w14:val="standardContextual"/>
              </w:rPr>
              <w:tab/>
            </w:r>
            <w:r w:rsidRPr="00F82A68">
              <w:rPr>
                <w:rStyle w:val="Hyperlink"/>
              </w:rPr>
              <w:t>Crowdsourcing</w:t>
            </w:r>
            <w:r>
              <w:rPr>
                <w:webHidden/>
              </w:rPr>
              <w:tab/>
            </w:r>
            <w:r>
              <w:rPr>
                <w:webHidden/>
              </w:rPr>
              <w:fldChar w:fldCharType="begin"/>
            </w:r>
            <w:r>
              <w:rPr>
                <w:webHidden/>
              </w:rPr>
              <w:instrText xml:space="preserve"> PAGEREF _Toc218511671 \h </w:instrText>
            </w:r>
            <w:r>
              <w:rPr>
                <w:webHidden/>
              </w:rPr>
            </w:r>
            <w:r>
              <w:rPr>
                <w:webHidden/>
              </w:rPr>
              <w:fldChar w:fldCharType="separate"/>
            </w:r>
            <w:r w:rsidR="00545605">
              <w:rPr>
                <w:webHidden/>
              </w:rPr>
              <w:t>21</w:t>
            </w:r>
            <w:r>
              <w:rPr>
                <w:webHidden/>
              </w:rPr>
              <w:fldChar w:fldCharType="end"/>
            </w:r>
          </w:hyperlink>
        </w:p>
        <w:p w14:paraId="09068D9C" w14:textId="14F82DCC"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72" w:history="1">
            <w:r w:rsidRPr="00F82A68">
              <w:rPr>
                <w:rStyle w:val="Hyperlink"/>
              </w:rPr>
              <w:t>3</w:t>
            </w:r>
            <w:r>
              <w:rPr>
                <w:rFonts w:asciiTheme="minorHAnsi" w:eastAsiaTheme="minorEastAsia" w:hAnsiTheme="minorHAnsi"/>
                <w:color w:val="auto"/>
                <w:kern w:val="2"/>
                <w:szCs w:val="24"/>
                <w:lang w:eastAsia="en-AU"/>
                <w14:ligatures w14:val="standardContextual"/>
              </w:rPr>
              <w:tab/>
            </w:r>
            <w:r w:rsidRPr="00F82A68">
              <w:rPr>
                <w:rStyle w:val="Hyperlink"/>
              </w:rPr>
              <w:t>Assessing interventions</w:t>
            </w:r>
            <w:r>
              <w:rPr>
                <w:webHidden/>
              </w:rPr>
              <w:tab/>
            </w:r>
            <w:r>
              <w:rPr>
                <w:webHidden/>
              </w:rPr>
              <w:fldChar w:fldCharType="begin"/>
            </w:r>
            <w:r>
              <w:rPr>
                <w:webHidden/>
              </w:rPr>
              <w:instrText xml:space="preserve"> PAGEREF _Toc218511672 \h </w:instrText>
            </w:r>
            <w:r>
              <w:rPr>
                <w:webHidden/>
              </w:rPr>
            </w:r>
            <w:r>
              <w:rPr>
                <w:webHidden/>
              </w:rPr>
              <w:fldChar w:fldCharType="separate"/>
            </w:r>
            <w:r w:rsidR="00545605">
              <w:rPr>
                <w:webHidden/>
              </w:rPr>
              <w:t>23</w:t>
            </w:r>
            <w:r>
              <w:rPr>
                <w:webHidden/>
              </w:rPr>
              <w:fldChar w:fldCharType="end"/>
            </w:r>
          </w:hyperlink>
        </w:p>
        <w:p w14:paraId="5B7351F1" w14:textId="0D5A02E9"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73" w:history="1">
            <w:r w:rsidRPr="00F82A68">
              <w:rPr>
                <w:rStyle w:val="Hyperlink"/>
              </w:rPr>
              <w:t>3.1</w:t>
            </w:r>
            <w:r>
              <w:rPr>
                <w:rFonts w:eastAsiaTheme="minorEastAsia"/>
                <w:kern w:val="2"/>
                <w:szCs w:val="24"/>
                <w:lang w:eastAsia="en-AU"/>
                <w14:ligatures w14:val="standardContextual"/>
              </w:rPr>
              <w:tab/>
            </w:r>
            <w:r w:rsidRPr="00F82A68">
              <w:rPr>
                <w:rStyle w:val="Hyperlink"/>
              </w:rPr>
              <w:t>Intervention deployment</w:t>
            </w:r>
            <w:r>
              <w:rPr>
                <w:webHidden/>
              </w:rPr>
              <w:tab/>
            </w:r>
            <w:r>
              <w:rPr>
                <w:webHidden/>
              </w:rPr>
              <w:fldChar w:fldCharType="begin"/>
            </w:r>
            <w:r>
              <w:rPr>
                <w:webHidden/>
              </w:rPr>
              <w:instrText xml:space="preserve"> PAGEREF _Toc218511673 \h </w:instrText>
            </w:r>
            <w:r>
              <w:rPr>
                <w:webHidden/>
              </w:rPr>
            </w:r>
            <w:r>
              <w:rPr>
                <w:webHidden/>
              </w:rPr>
              <w:fldChar w:fldCharType="separate"/>
            </w:r>
            <w:r w:rsidR="00545605">
              <w:rPr>
                <w:webHidden/>
              </w:rPr>
              <w:t>23</w:t>
            </w:r>
            <w:r>
              <w:rPr>
                <w:webHidden/>
              </w:rPr>
              <w:fldChar w:fldCharType="end"/>
            </w:r>
          </w:hyperlink>
        </w:p>
        <w:p w14:paraId="721B7432" w14:textId="22851267"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74" w:history="1">
            <w:r w:rsidRPr="00F82A68">
              <w:rPr>
                <w:rStyle w:val="Hyperlink"/>
              </w:rPr>
              <w:t>3.2</w:t>
            </w:r>
            <w:r>
              <w:rPr>
                <w:rFonts w:eastAsiaTheme="minorEastAsia"/>
                <w:kern w:val="2"/>
                <w:szCs w:val="24"/>
                <w:lang w:eastAsia="en-AU"/>
                <w14:ligatures w14:val="standardContextual"/>
              </w:rPr>
              <w:tab/>
            </w:r>
            <w:r w:rsidRPr="00F82A68">
              <w:rPr>
                <w:rStyle w:val="Hyperlink"/>
              </w:rPr>
              <w:t>Limitations of the current literature on misinformation interventions</w:t>
            </w:r>
            <w:r>
              <w:rPr>
                <w:webHidden/>
              </w:rPr>
              <w:tab/>
            </w:r>
            <w:r>
              <w:rPr>
                <w:webHidden/>
              </w:rPr>
              <w:fldChar w:fldCharType="begin"/>
            </w:r>
            <w:r>
              <w:rPr>
                <w:webHidden/>
              </w:rPr>
              <w:instrText xml:space="preserve"> PAGEREF _Toc218511674 \h </w:instrText>
            </w:r>
            <w:r>
              <w:rPr>
                <w:webHidden/>
              </w:rPr>
            </w:r>
            <w:r>
              <w:rPr>
                <w:webHidden/>
              </w:rPr>
              <w:fldChar w:fldCharType="separate"/>
            </w:r>
            <w:r w:rsidR="00545605">
              <w:rPr>
                <w:webHidden/>
              </w:rPr>
              <w:t>23</w:t>
            </w:r>
            <w:r>
              <w:rPr>
                <w:webHidden/>
              </w:rPr>
              <w:fldChar w:fldCharType="end"/>
            </w:r>
          </w:hyperlink>
        </w:p>
        <w:p w14:paraId="2245A6B7" w14:textId="7C92CE02"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75" w:history="1">
            <w:r w:rsidRPr="00F82A68">
              <w:rPr>
                <w:rStyle w:val="Hyperlink"/>
              </w:rPr>
              <w:t>4</w:t>
            </w:r>
            <w:r>
              <w:rPr>
                <w:rFonts w:asciiTheme="minorHAnsi" w:eastAsiaTheme="minorEastAsia" w:hAnsiTheme="minorHAnsi"/>
                <w:color w:val="auto"/>
                <w:kern w:val="2"/>
                <w:szCs w:val="24"/>
                <w:lang w:eastAsia="en-AU"/>
                <w14:ligatures w14:val="standardContextual"/>
              </w:rPr>
              <w:tab/>
            </w:r>
            <w:r w:rsidRPr="00F82A68">
              <w:rPr>
                <w:rStyle w:val="Hyperlink"/>
              </w:rPr>
              <w:t>Opportunities in the Australian context</w:t>
            </w:r>
            <w:r>
              <w:rPr>
                <w:webHidden/>
              </w:rPr>
              <w:tab/>
            </w:r>
            <w:r>
              <w:rPr>
                <w:webHidden/>
              </w:rPr>
              <w:fldChar w:fldCharType="begin"/>
            </w:r>
            <w:r>
              <w:rPr>
                <w:webHidden/>
              </w:rPr>
              <w:instrText xml:space="preserve"> PAGEREF _Toc218511675 \h </w:instrText>
            </w:r>
            <w:r>
              <w:rPr>
                <w:webHidden/>
              </w:rPr>
            </w:r>
            <w:r>
              <w:rPr>
                <w:webHidden/>
              </w:rPr>
              <w:fldChar w:fldCharType="separate"/>
            </w:r>
            <w:r w:rsidR="00545605">
              <w:rPr>
                <w:webHidden/>
              </w:rPr>
              <w:t>26</w:t>
            </w:r>
            <w:r>
              <w:rPr>
                <w:webHidden/>
              </w:rPr>
              <w:fldChar w:fldCharType="end"/>
            </w:r>
          </w:hyperlink>
        </w:p>
        <w:p w14:paraId="65197A64" w14:textId="1AA60CCC"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76" w:history="1">
            <w:r w:rsidRPr="00F82A68">
              <w:rPr>
                <w:rStyle w:val="Hyperlink"/>
              </w:rPr>
              <w:t>4.1</w:t>
            </w:r>
            <w:r>
              <w:rPr>
                <w:rFonts w:eastAsiaTheme="minorEastAsia"/>
                <w:kern w:val="2"/>
                <w:szCs w:val="24"/>
                <w:lang w:eastAsia="en-AU"/>
                <w14:ligatures w14:val="standardContextual"/>
              </w:rPr>
              <w:tab/>
            </w:r>
            <w:r w:rsidRPr="00F82A68">
              <w:rPr>
                <w:rStyle w:val="Hyperlink"/>
              </w:rPr>
              <w:t>Understanding efficacy in the local context</w:t>
            </w:r>
            <w:r>
              <w:rPr>
                <w:webHidden/>
              </w:rPr>
              <w:tab/>
            </w:r>
            <w:r>
              <w:rPr>
                <w:webHidden/>
              </w:rPr>
              <w:fldChar w:fldCharType="begin"/>
            </w:r>
            <w:r>
              <w:rPr>
                <w:webHidden/>
              </w:rPr>
              <w:instrText xml:space="preserve"> PAGEREF _Toc218511676 \h </w:instrText>
            </w:r>
            <w:r>
              <w:rPr>
                <w:webHidden/>
              </w:rPr>
            </w:r>
            <w:r>
              <w:rPr>
                <w:webHidden/>
              </w:rPr>
              <w:fldChar w:fldCharType="separate"/>
            </w:r>
            <w:r w:rsidR="00545605">
              <w:rPr>
                <w:webHidden/>
              </w:rPr>
              <w:t>26</w:t>
            </w:r>
            <w:r>
              <w:rPr>
                <w:webHidden/>
              </w:rPr>
              <w:fldChar w:fldCharType="end"/>
            </w:r>
          </w:hyperlink>
        </w:p>
        <w:p w14:paraId="1D794C36" w14:textId="1FE072A6"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77" w:history="1">
            <w:r w:rsidRPr="00F82A68">
              <w:rPr>
                <w:rStyle w:val="Hyperlink"/>
              </w:rPr>
              <w:t>4.2</w:t>
            </w:r>
            <w:r>
              <w:rPr>
                <w:rFonts w:eastAsiaTheme="minorEastAsia"/>
                <w:kern w:val="2"/>
                <w:szCs w:val="24"/>
                <w:lang w:eastAsia="en-AU"/>
                <w14:ligatures w14:val="standardContextual"/>
              </w:rPr>
              <w:tab/>
            </w:r>
            <w:r w:rsidRPr="00F82A68">
              <w:rPr>
                <w:rStyle w:val="Hyperlink"/>
              </w:rPr>
              <w:t>Targeting information verification and making space for media and digital literacy in the classroom</w:t>
            </w:r>
            <w:r>
              <w:rPr>
                <w:webHidden/>
              </w:rPr>
              <w:tab/>
            </w:r>
            <w:r>
              <w:rPr>
                <w:webHidden/>
              </w:rPr>
              <w:fldChar w:fldCharType="begin"/>
            </w:r>
            <w:r>
              <w:rPr>
                <w:webHidden/>
              </w:rPr>
              <w:instrText xml:space="preserve"> PAGEREF _Toc218511677 \h </w:instrText>
            </w:r>
            <w:r>
              <w:rPr>
                <w:webHidden/>
              </w:rPr>
            </w:r>
            <w:r>
              <w:rPr>
                <w:webHidden/>
              </w:rPr>
              <w:fldChar w:fldCharType="separate"/>
            </w:r>
            <w:r w:rsidR="00545605">
              <w:rPr>
                <w:webHidden/>
              </w:rPr>
              <w:t>26</w:t>
            </w:r>
            <w:r>
              <w:rPr>
                <w:webHidden/>
              </w:rPr>
              <w:fldChar w:fldCharType="end"/>
            </w:r>
          </w:hyperlink>
        </w:p>
        <w:p w14:paraId="516D6D16" w14:textId="68C70A91"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78" w:history="1">
            <w:r w:rsidRPr="00F82A68">
              <w:rPr>
                <w:rStyle w:val="Hyperlink"/>
              </w:rPr>
              <w:t>5</w:t>
            </w:r>
            <w:r>
              <w:rPr>
                <w:rFonts w:asciiTheme="minorHAnsi" w:eastAsiaTheme="minorEastAsia" w:hAnsiTheme="minorHAnsi"/>
                <w:color w:val="auto"/>
                <w:kern w:val="2"/>
                <w:szCs w:val="24"/>
                <w:lang w:eastAsia="en-AU"/>
                <w14:ligatures w14:val="standardContextual"/>
              </w:rPr>
              <w:tab/>
            </w:r>
            <w:r w:rsidRPr="00F82A68">
              <w:rPr>
                <w:rStyle w:val="Hyperlink"/>
              </w:rPr>
              <w:t>Future directions</w:t>
            </w:r>
            <w:r>
              <w:rPr>
                <w:webHidden/>
              </w:rPr>
              <w:tab/>
            </w:r>
            <w:r>
              <w:rPr>
                <w:webHidden/>
              </w:rPr>
              <w:fldChar w:fldCharType="begin"/>
            </w:r>
            <w:r>
              <w:rPr>
                <w:webHidden/>
              </w:rPr>
              <w:instrText xml:space="preserve"> PAGEREF _Toc218511678 \h </w:instrText>
            </w:r>
            <w:r>
              <w:rPr>
                <w:webHidden/>
              </w:rPr>
            </w:r>
            <w:r>
              <w:rPr>
                <w:webHidden/>
              </w:rPr>
              <w:fldChar w:fldCharType="separate"/>
            </w:r>
            <w:r w:rsidR="00545605">
              <w:rPr>
                <w:webHidden/>
              </w:rPr>
              <w:t>29</w:t>
            </w:r>
            <w:r>
              <w:rPr>
                <w:webHidden/>
              </w:rPr>
              <w:fldChar w:fldCharType="end"/>
            </w:r>
          </w:hyperlink>
        </w:p>
        <w:p w14:paraId="6DFECB0B" w14:textId="21965A01"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79" w:history="1">
            <w:r w:rsidRPr="00F82A68">
              <w:rPr>
                <w:rStyle w:val="Hyperlink"/>
              </w:rPr>
              <w:t>5.1</w:t>
            </w:r>
            <w:r>
              <w:rPr>
                <w:rFonts w:eastAsiaTheme="minorEastAsia"/>
                <w:kern w:val="2"/>
                <w:szCs w:val="24"/>
                <w:lang w:eastAsia="en-AU"/>
                <w14:ligatures w14:val="standardContextual"/>
              </w:rPr>
              <w:tab/>
            </w:r>
            <w:r w:rsidRPr="00F82A68">
              <w:rPr>
                <w:rStyle w:val="Hyperlink"/>
              </w:rPr>
              <w:t>Delivery pathways and AI</w:t>
            </w:r>
            <w:r>
              <w:rPr>
                <w:webHidden/>
              </w:rPr>
              <w:tab/>
            </w:r>
            <w:r>
              <w:rPr>
                <w:webHidden/>
              </w:rPr>
              <w:fldChar w:fldCharType="begin"/>
            </w:r>
            <w:r>
              <w:rPr>
                <w:webHidden/>
              </w:rPr>
              <w:instrText xml:space="preserve"> PAGEREF _Toc218511679 \h </w:instrText>
            </w:r>
            <w:r>
              <w:rPr>
                <w:webHidden/>
              </w:rPr>
            </w:r>
            <w:r>
              <w:rPr>
                <w:webHidden/>
              </w:rPr>
              <w:fldChar w:fldCharType="separate"/>
            </w:r>
            <w:r w:rsidR="00545605">
              <w:rPr>
                <w:webHidden/>
              </w:rPr>
              <w:t>29</w:t>
            </w:r>
            <w:r>
              <w:rPr>
                <w:webHidden/>
              </w:rPr>
              <w:fldChar w:fldCharType="end"/>
            </w:r>
          </w:hyperlink>
        </w:p>
        <w:p w14:paraId="62C04DF8" w14:textId="4FC08734"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80" w:history="1">
            <w:r w:rsidRPr="00F82A68">
              <w:rPr>
                <w:rStyle w:val="Hyperlink"/>
              </w:rPr>
              <w:t>5.2</w:t>
            </w:r>
            <w:r>
              <w:rPr>
                <w:rFonts w:eastAsiaTheme="minorEastAsia"/>
                <w:kern w:val="2"/>
                <w:szCs w:val="24"/>
                <w:lang w:eastAsia="en-AU"/>
                <w14:ligatures w14:val="standardContextual"/>
              </w:rPr>
              <w:tab/>
            </w:r>
            <w:r w:rsidRPr="00F82A68">
              <w:rPr>
                <w:rStyle w:val="Hyperlink"/>
              </w:rPr>
              <w:t>Combining innovative approaches</w:t>
            </w:r>
            <w:r>
              <w:rPr>
                <w:webHidden/>
              </w:rPr>
              <w:tab/>
            </w:r>
            <w:r>
              <w:rPr>
                <w:webHidden/>
              </w:rPr>
              <w:fldChar w:fldCharType="begin"/>
            </w:r>
            <w:r>
              <w:rPr>
                <w:webHidden/>
              </w:rPr>
              <w:instrText xml:space="preserve"> PAGEREF _Toc218511680 \h </w:instrText>
            </w:r>
            <w:r>
              <w:rPr>
                <w:webHidden/>
              </w:rPr>
            </w:r>
            <w:r>
              <w:rPr>
                <w:webHidden/>
              </w:rPr>
              <w:fldChar w:fldCharType="separate"/>
            </w:r>
            <w:r w:rsidR="00545605">
              <w:rPr>
                <w:webHidden/>
              </w:rPr>
              <w:t>29</w:t>
            </w:r>
            <w:r>
              <w:rPr>
                <w:webHidden/>
              </w:rPr>
              <w:fldChar w:fldCharType="end"/>
            </w:r>
          </w:hyperlink>
        </w:p>
        <w:p w14:paraId="067C0F5E" w14:textId="7FE88183" w:rsidR="00F777C6" w:rsidRDefault="00F777C6">
          <w:pPr>
            <w:pStyle w:val="TOC3"/>
            <w:tabs>
              <w:tab w:val="clear" w:pos="9015"/>
              <w:tab w:val="left" w:pos="851"/>
              <w:tab w:val="right" w:leader="dot" w:pos="9016"/>
            </w:tabs>
            <w:rPr>
              <w:rFonts w:eastAsiaTheme="minorEastAsia"/>
              <w:kern w:val="2"/>
              <w:szCs w:val="24"/>
              <w:lang w:eastAsia="en-AU"/>
              <w14:ligatures w14:val="standardContextual"/>
            </w:rPr>
          </w:pPr>
          <w:hyperlink w:anchor="_Toc218511681" w:history="1">
            <w:r w:rsidRPr="00F82A68">
              <w:rPr>
                <w:rStyle w:val="Hyperlink"/>
              </w:rPr>
              <w:t>5.3</w:t>
            </w:r>
            <w:r>
              <w:rPr>
                <w:rFonts w:eastAsiaTheme="minorEastAsia"/>
                <w:kern w:val="2"/>
                <w:szCs w:val="24"/>
                <w:lang w:eastAsia="en-AU"/>
                <w14:ligatures w14:val="standardContextual"/>
              </w:rPr>
              <w:tab/>
            </w:r>
            <w:r w:rsidRPr="00F82A68">
              <w:rPr>
                <w:rStyle w:val="Hyperlink"/>
              </w:rPr>
              <w:t>Supporting truth-affirming actors</w:t>
            </w:r>
            <w:r>
              <w:rPr>
                <w:webHidden/>
              </w:rPr>
              <w:tab/>
            </w:r>
            <w:r>
              <w:rPr>
                <w:webHidden/>
              </w:rPr>
              <w:fldChar w:fldCharType="begin"/>
            </w:r>
            <w:r>
              <w:rPr>
                <w:webHidden/>
              </w:rPr>
              <w:instrText xml:space="preserve"> PAGEREF _Toc218511681 \h </w:instrText>
            </w:r>
            <w:r>
              <w:rPr>
                <w:webHidden/>
              </w:rPr>
            </w:r>
            <w:r>
              <w:rPr>
                <w:webHidden/>
              </w:rPr>
              <w:fldChar w:fldCharType="separate"/>
            </w:r>
            <w:r w:rsidR="00545605">
              <w:rPr>
                <w:webHidden/>
              </w:rPr>
              <w:t>30</w:t>
            </w:r>
            <w:r>
              <w:rPr>
                <w:webHidden/>
              </w:rPr>
              <w:fldChar w:fldCharType="end"/>
            </w:r>
          </w:hyperlink>
        </w:p>
        <w:p w14:paraId="60664EAE" w14:textId="33CDABD8"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82" w:history="1">
            <w:r w:rsidRPr="00F82A68">
              <w:rPr>
                <w:rStyle w:val="Hyperlink"/>
              </w:rPr>
              <w:t>6</w:t>
            </w:r>
            <w:r>
              <w:rPr>
                <w:rFonts w:asciiTheme="minorHAnsi" w:eastAsiaTheme="minorEastAsia" w:hAnsiTheme="minorHAnsi"/>
                <w:color w:val="auto"/>
                <w:kern w:val="2"/>
                <w:szCs w:val="24"/>
                <w:lang w:eastAsia="en-AU"/>
                <w14:ligatures w14:val="standardContextual"/>
              </w:rPr>
              <w:tab/>
            </w:r>
            <w:r w:rsidRPr="00F82A68">
              <w:rPr>
                <w:rStyle w:val="Hyperlink"/>
              </w:rPr>
              <w:t>Concluding remarks</w:t>
            </w:r>
            <w:r>
              <w:rPr>
                <w:webHidden/>
              </w:rPr>
              <w:tab/>
            </w:r>
            <w:r>
              <w:rPr>
                <w:webHidden/>
              </w:rPr>
              <w:fldChar w:fldCharType="begin"/>
            </w:r>
            <w:r>
              <w:rPr>
                <w:webHidden/>
              </w:rPr>
              <w:instrText xml:space="preserve"> PAGEREF _Toc218511682 \h </w:instrText>
            </w:r>
            <w:r>
              <w:rPr>
                <w:webHidden/>
              </w:rPr>
            </w:r>
            <w:r>
              <w:rPr>
                <w:webHidden/>
              </w:rPr>
              <w:fldChar w:fldCharType="separate"/>
            </w:r>
            <w:r w:rsidR="00545605">
              <w:rPr>
                <w:webHidden/>
              </w:rPr>
              <w:t>31</w:t>
            </w:r>
            <w:r>
              <w:rPr>
                <w:webHidden/>
              </w:rPr>
              <w:fldChar w:fldCharType="end"/>
            </w:r>
          </w:hyperlink>
        </w:p>
        <w:p w14:paraId="4FE558A1" w14:textId="382D18F4" w:rsidR="00F777C6" w:rsidRDefault="00F777C6">
          <w:pPr>
            <w:pStyle w:val="TOC2"/>
            <w:rPr>
              <w:rFonts w:asciiTheme="minorHAnsi" w:eastAsiaTheme="minorEastAsia" w:hAnsiTheme="minorHAnsi"/>
              <w:color w:val="auto"/>
              <w:kern w:val="2"/>
              <w:szCs w:val="24"/>
              <w:lang w:eastAsia="en-AU"/>
              <w14:ligatures w14:val="standardContextual"/>
            </w:rPr>
          </w:pPr>
          <w:hyperlink w:anchor="_Toc218511683" w:history="1">
            <w:r w:rsidRPr="00F82A68">
              <w:rPr>
                <w:rStyle w:val="Hyperlink"/>
              </w:rPr>
              <w:t>References</w:t>
            </w:r>
            <w:r>
              <w:rPr>
                <w:webHidden/>
              </w:rPr>
              <w:tab/>
            </w:r>
            <w:r>
              <w:rPr>
                <w:webHidden/>
              </w:rPr>
              <w:fldChar w:fldCharType="begin"/>
            </w:r>
            <w:r>
              <w:rPr>
                <w:webHidden/>
              </w:rPr>
              <w:instrText xml:space="preserve"> PAGEREF _Toc218511683 \h </w:instrText>
            </w:r>
            <w:r>
              <w:rPr>
                <w:webHidden/>
              </w:rPr>
            </w:r>
            <w:r>
              <w:rPr>
                <w:webHidden/>
              </w:rPr>
              <w:fldChar w:fldCharType="separate"/>
            </w:r>
            <w:r w:rsidR="00545605">
              <w:rPr>
                <w:webHidden/>
              </w:rPr>
              <w:t>32</w:t>
            </w:r>
            <w:r>
              <w:rPr>
                <w:webHidden/>
              </w:rPr>
              <w:fldChar w:fldCharType="end"/>
            </w:r>
          </w:hyperlink>
        </w:p>
        <w:p w14:paraId="11278A00" w14:textId="2C85F626" w:rsidR="00165101" w:rsidRDefault="00165101">
          <w:r>
            <w:rPr>
              <w:b/>
              <w:bCs/>
              <w:noProof/>
            </w:rPr>
            <w:fldChar w:fldCharType="end"/>
          </w:r>
        </w:p>
      </w:sdtContent>
    </w:sdt>
    <w:p w14:paraId="39202091" w14:textId="5DDDEBBF" w:rsidR="00C00CEB" w:rsidRPr="00C00CEB" w:rsidRDefault="00C00CEB" w:rsidP="00E641F3">
      <w:pPr>
        <w:pStyle w:val="Heading2"/>
      </w:pPr>
      <w:bookmarkStart w:id="32" w:name="_Toc218511654"/>
      <w:r w:rsidRPr="00C00CEB">
        <w:t xml:space="preserve">Executive </w:t>
      </w:r>
      <w:r w:rsidR="003B10CD">
        <w:t>s</w:t>
      </w:r>
      <w:r w:rsidRPr="00C00CEB">
        <w:t>ummary</w:t>
      </w:r>
      <w:bookmarkEnd w:id="31"/>
      <w:bookmarkEnd w:id="32"/>
    </w:p>
    <w:p w14:paraId="208E38CA" w14:textId="63616B6B" w:rsidR="00C00CEB" w:rsidRPr="00224B7E" w:rsidRDefault="00C00CEB" w:rsidP="00224B7E">
      <w:r w:rsidRPr="00224B7E">
        <w:t>A growing body of multidisciplinary research has examined how to mitigate misinformation</w:t>
      </w:r>
      <w:r w:rsidR="00224B7E" w:rsidRPr="00224B7E">
        <w:t xml:space="preserve"> </w:t>
      </w:r>
      <w:r w:rsidRPr="00224B7E">
        <w:t xml:space="preserve">spread and impacts, with interventions that empower people to effectively navigate increasingly complex information environments. We provide a </w:t>
      </w:r>
      <w:r w:rsidRPr="00224B7E">
        <w:rPr>
          <w:b/>
        </w:rPr>
        <w:t>framework highlighting the need for a multipronged approach to information resilience</w:t>
      </w:r>
      <w:r w:rsidRPr="00224B7E">
        <w:t>, which ranges from targeting competencies and knowledge to navigate information environments (pre</w:t>
      </w:r>
      <w:r w:rsidR="007A7BB6" w:rsidRPr="00224B7E">
        <w:noBreakHyphen/>
      </w:r>
      <w:r w:rsidRPr="00224B7E">
        <w:t>emptive interventions) to supporting knowledge and belief updating after encountering misleading and false content (responsive interventions).</w:t>
      </w:r>
    </w:p>
    <w:p w14:paraId="0B255642" w14:textId="48DD9AF8" w:rsidR="00C00CEB" w:rsidRPr="00224B7E" w:rsidRDefault="00C00CEB" w:rsidP="00224B7E">
      <w:pPr>
        <w:pStyle w:val="Heading3"/>
      </w:pPr>
      <w:bookmarkStart w:id="33" w:name="_Toc218508981"/>
      <w:bookmarkStart w:id="34" w:name="_Toc218511655"/>
      <w:r w:rsidRPr="00F025A3">
        <w:t xml:space="preserve">Pre-emptive </w:t>
      </w:r>
      <w:r w:rsidR="386E3775" w:rsidRPr="6B202C40">
        <w:t>i</w:t>
      </w:r>
      <w:r w:rsidRPr="00F025A3">
        <w:t>nterventions</w:t>
      </w:r>
      <w:bookmarkEnd w:id="33"/>
      <w:bookmarkEnd w:id="34"/>
    </w:p>
    <w:p w14:paraId="326AD049" w14:textId="12A30A32" w:rsidR="00C00CEB" w:rsidRPr="0093148C" w:rsidRDefault="00C00CEB" w:rsidP="00016AC2">
      <w:r w:rsidRPr="0093148C">
        <w:t>Teaching skills that help people to quickly assess the quality and credibility of information (especially in online spaces) is a critical education target</w:t>
      </w:r>
      <w:r w:rsidR="00867029">
        <w:t xml:space="preserve"> – </w:t>
      </w:r>
      <w:r w:rsidRPr="0093148C">
        <w:t>improving</w:t>
      </w:r>
      <w:r w:rsidRPr="00073E57">
        <w:rPr>
          <w:i/>
        </w:rPr>
        <w:t xml:space="preserve"> </w:t>
      </w:r>
      <w:r w:rsidR="59436D49" w:rsidRPr="00224B7E">
        <w:rPr>
          <w:rStyle w:val="Strong"/>
        </w:rPr>
        <w:t>i</w:t>
      </w:r>
      <w:r w:rsidRPr="00224B7E">
        <w:rPr>
          <w:rStyle w:val="Strong"/>
        </w:rPr>
        <w:t xml:space="preserve">nformation </w:t>
      </w:r>
      <w:r w:rsidR="3459ACBE" w:rsidRPr="00224B7E">
        <w:rPr>
          <w:rStyle w:val="Strong"/>
        </w:rPr>
        <w:t>l</w:t>
      </w:r>
      <w:r w:rsidRPr="00224B7E">
        <w:rPr>
          <w:rStyle w:val="Strong"/>
        </w:rPr>
        <w:t>iteracy</w:t>
      </w:r>
      <w:r w:rsidRPr="0093148C">
        <w:t xml:space="preserve">. A curriculum focus that also targets </w:t>
      </w:r>
      <w:r w:rsidR="34413B24" w:rsidRPr="00224B7E">
        <w:rPr>
          <w:rStyle w:val="Strong"/>
        </w:rPr>
        <w:t>m</w:t>
      </w:r>
      <w:r w:rsidRPr="00224B7E">
        <w:rPr>
          <w:rStyle w:val="Strong"/>
        </w:rPr>
        <w:t xml:space="preserve">edia and </w:t>
      </w:r>
      <w:r w:rsidR="3F2E7EC0" w:rsidRPr="00224B7E">
        <w:rPr>
          <w:rStyle w:val="Strong"/>
        </w:rPr>
        <w:t>d</w:t>
      </w:r>
      <w:r w:rsidRPr="00224B7E">
        <w:rPr>
          <w:rStyle w:val="Strong"/>
        </w:rPr>
        <w:t xml:space="preserve">igital </w:t>
      </w:r>
      <w:r w:rsidR="3775F046" w:rsidRPr="00224B7E">
        <w:rPr>
          <w:rStyle w:val="Strong"/>
        </w:rPr>
        <w:t>l</w:t>
      </w:r>
      <w:r w:rsidRPr="00224B7E">
        <w:rPr>
          <w:rStyle w:val="Strong"/>
        </w:rPr>
        <w:t>iteracies</w:t>
      </w:r>
      <w:r w:rsidRPr="00425B1D">
        <w:rPr>
          <w:i/>
        </w:rPr>
        <w:t xml:space="preserve"> </w:t>
      </w:r>
      <w:r w:rsidRPr="0093148C">
        <w:t>can enhance information discernment and support civics engagement. A focus in these areas must take into account both inequalities of access to technology and the diversity of Australian communities.</w:t>
      </w:r>
    </w:p>
    <w:p w14:paraId="46C53DBC" w14:textId="79BBC059" w:rsidR="00C00CEB" w:rsidRPr="00333BE7" w:rsidRDefault="00C00CEB" w:rsidP="00016AC2">
      <w:pPr>
        <w:rPr>
          <w:i/>
        </w:rPr>
      </w:pPr>
      <w:proofErr w:type="spellStart"/>
      <w:r w:rsidRPr="00224B7E">
        <w:rPr>
          <w:rStyle w:val="Strong"/>
        </w:rPr>
        <w:t>Prebunking</w:t>
      </w:r>
      <w:proofErr w:type="spellEnd"/>
      <w:r w:rsidRPr="00333BE7">
        <w:rPr>
          <w:i/>
        </w:rPr>
        <w:t xml:space="preserve"> </w:t>
      </w:r>
      <w:r w:rsidRPr="0093148C">
        <w:t>supports people to identify deceptive messages, logical fallacies and low</w:t>
      </w:r>
      <w:r w:rsidR="007A7BB6">
        <w:noBreakHyphen/>
      </w:r>
      <w:r w:rsidRPr="0093148C">
        <w:t xml:space="preserve">quality content. Delivery modes include gamified applications or short videos. Prompts in the information environment that encourage consumers to consider accuracy and </w:t>
      </w:r>
      <w:r w:rsidR="073066F0">
        <w:t>‘</w:t>
      </w:r>
      <w:r w:rsidRPr="0093148C">
        <w:t xml:space="preserve">think before </w:t>
      </w:r>
      <w:r>
        <w:t>sharing</w:t>
      </w:r>
      <w:r w:rsidR="42E6C3E5">
        <w:t>’</w:t>
      </w:r>
      <w:r w:rsidRPr="0093148C">
        <w:t xml:space="preserve"> are also beneficial. To optimise reach and engagement, platform collaboration is required.</w:t>
      </w:r>
    </w:p>
    <w:p w14:paraId="17DE3E80" w14:textId="6C33E8DB" w:rsidR="00C00CEB" w:rsidRPr="00F025A3" w:rsidRDefault="00C00CEB" w:rsidP="007A7BB6">
      <w:pPr>
        <w:pStyle w:val="Heading3"/>
      </w:pPr>
      <w:bookmarkStart w:id="35" w:name="_Toc218508982"/>
      <w:bookmarkStart w:id="36" w:name="_Toc218511656"/>
      <w:r w:rsidRPr="00F025A3">
        <w:t xml:space="preserve">Responsive </w:t>
      </w:r>
      <w:r w:rsidR="02884B86" w:rsidRPr="7A58D401">
        <w:t>i</w:t>
      </w:r>
      <w:r w:rsidRPr="00F025A3">
        <w:t>nterventions</w:t>
      </w:r>
      <w:bookmarkEnd w:id="35"/>
      <w:bookmarkEnd w:id="36"/>
    </w:p>
    <w:p w14:paraId="441068E0" w14:textId="4F4124B0" w:rsidR="00C00CEB" w:rsidRPr="0093148C" w:rsidRDefault="00C00CEB" w:rsidP="00016AC2">
      <w:r w:rsidRPr="0093148C">
        <w:t xml:space="preserve">When misinformation has reached a broad audience, </w:t>
      </w:r>
      <w:r w:rsidR="2BAAC644" w:rsidRPr="00224B7E">
        <w:rPr>
          <w:rStyle w:val="Strong"/>
        </w:rPr>
        <w:t>d</w:t>
      </w:r>
      <w:r w:rsidRPr="00224B7E">
        <w:rPr>
          <w:rStyle w:val="Strong"/>
        </w:rPr>
        <w:t>ebunking</w:t>
      </w:r>
      <w:r w:rsidRPr="00425B1D">
        <w:rPr>
          <w:i/>
        </w:rPr>
        <w:t xml:space="preserve"> </w:t>
      </w:r>
      <w:r w:rsidRPr="0093148C">
        <w:t xml:space="preserve">techniques that explain a falsehood or the flawed nature of a misleading argument reduce people’s false beliefs. This intervention is a critical tool in correcting misinformation and can be delivered through diverse channels of communication, including trusted community leaders. </w:t>
      </w:r>
      <w:r w:rsidRPr="00224B7E">
        <w:rPr>
          <w:rStyle w:val="Strong"/>
        </w:rPr>
        <w:t>Crowdsourcing</w:t>
      </w:r>
      <w:r w:rsidRPr="00425B1D">
        <w:rPr>
          <w:i/>
        </w:rPr>
        <w:t xml:space="preserve"> </w:t>
      </w:r>
      <w:r w:rsidRPr="0093148C">
        <w:t>can also be used to fact</w:t>
      </w:r>
      <w:r w:rsidR="007A7BB6">
        <w:noBreakHyphen/>
      </w:r>
      <w:r w:rsidRPr="0093148C">
        <w:t>check claims</w:t>
      </w:r>
      <w:r w:rsidRPr="00425B1D">
        <w:rPr>
          <w:i/>
        </w:rPr>
        <w:t xml:space="preserve">, </w:t>
      </w:r>
      <w:r w:rsidRPr="0093148C">
        <w:t>drawing on peer knowledge.</w:t>
      </w:r>
    </w:p>
    <w:p w14:paraId="449431F1" w14:textId="1E73B87E" w:rsidR="00C00CEB" w:rsidRPr="00F025A3" w:rsidRDefault="00C00CEB" w:rsidP="007A7BB6">
      <w:pPr>
        <w:pStyle w:val="Heading3"/>
      </w:pPr>
      <w:bookmarkStart w:id="37" w:name="_Toc218508983"/>
      <w:bookmarkStart w:id="38" w:name="_Toc218511657"/>
      <w:r w:rsidRPr="00F025A3">
        <w:t xml:space="preserve">Opportunities and </w:t>
      </w:r>
      <w:r w:rsidR="6771726C" w:rsidRPr="0E71CC32">
        <w:t>i</w:t>
      </w:r>
      <w:r w:rsidRPr="00F025A3">
        <w:t>nnovation</w:t>
      </w:r>
      <w:bookmarkEnd w:id="37"/>
      <w:bookmarkEnd w:id="38"/>
    </w:p>
    <w:p w14:paraId="044CB8DB" w14:textId="7AF821AC" w:rsidR="00F025A3" w:rsidRPr="00F025A3" w:rsidRDefault="00C00CEB" w:rsidP="00016AC2">
      <w:r w:rsidRPr="0093148C">
        <w:t>More research is needed to better understand the efficacy of interventions for vulnerable groups, as well as how best to support truth</w:t>
      </w:r>
      <w:r w:rsidR="007A7BB6">
        <w:noBreakHyphen/>
      </w:r>
      <w:r w:rsidRPr="0093148C">
        <w:t>affirming actors (e.g.,</w:t>
      </w:r>
      <w:r w:rsidR="007A7BB6">
        <w:t> </w:t>
      </w:r>
      <w:r w:rsidRPr="0093148C">
        <w:t>Wikipedia, public broadcasters).</w:t>
      </w:r>
      <w:r w:rsidRPr="00F025A3">
        <w:rPr>
          <w:rFonts w:eastAsia="PMingLiU"/>
        </w:rPr>
        <w:t xml:space="preserve"> </w:t>
      </w:r>
    </w:p>
    <w:p w14:paraId="0E5C55EB" w14:textId="17AA5346" w:rsidR="00425B1D" w:rsidRPr="00F025A3" w:rsidRDefault="00C00CEB" w:rsidP="00016AC2">
      <w:r w:rsidRPr="0093148C">
        <w:t>Emerging research identifies AI as a potential information</w:t>
      </w:r>
      <w:r w:rsidR="54100C1D">
        <w:t xml:space="preserve"> </w:t>
      </w:r>
      <w:r w:rsidRPr="0093148C">
        <w:t>resilience tool that may increase reach and efficacy of interventions. We identify AI literacy as a future</w:t>
      </w:r>
      <w:r w:rsidR="007A7BB6">
        <w:noBreakHyphen/>
      </w:r>
      <w:r w:rsidRPr="0093148C">
        <w:t>facing competency critical for information resilience more broadly.</w:t>
      </w:r>
    </w:p>
    <w:p w14:paraId="779EF253" w14:textId="29CA9F70" w:rsidR="00C00CEB" w:rsidRPr="00865ED9" w:rsidRDefault="00C00CEB" w:rsidP="00440304">
      <w:pPr>
        <w:pStyle w:val="Heading2"/>
      </w:pPr>
      <w:bookmarkStart w:id="39" w:name="_Toc204091416"/>
      <w:bookmarkStart w:id="40" w:name="_Toc218511658"/>
      <w:r w:rsidRPr="00865ED9">
        <w:t>Introduction</w:t>
      </w:r>
      <w:bookmarkEnd w:id="39"/>
      <w:bookmarkEnd w:id="40"/>
    </w:p>
    <w:p w14:paraId="27C35184" w14:textId="482F355F" w:rsidR="00C00CEB" w:rsidRPr="00865ED9" w:rsidRDefault="00C00CEB" w:rsidP="00440304">
      <w:pPr>
        <w:pStyle w:val="Heading3"/>
      </w:pPr>
      <w:bookmarkStart w:id="41" w:name="_Toc218511659"/>
      <w:r w:rsidRPr="00865ED9">
        <w:t xml:space="preserve">Purpose of </w:t>
      </w:r>
      <w:r w:rsidR="51016929">
        <w:t>r</w:t>
      </w:r>
      <w:r w:rsidRPr="00865ED9">
        <w:t>eport</w:t>
      </w:r>
      <w:bookmarkEnd w:id="41"/>
    </w:p>
    <w:p w14:paraId="6D6D5392" w14:textId="42AE3E2E" w:rsidR="00C00CEB" w:rsidRPr="0093148C" w:rsidRDefault="00C00CEB" w:rsidP="00425B1D">
      <w:r>
        <w:t xml:space="preserve">A growing body of multidisciplinary research has investigated how to mitigate misinformation spread and </w:t>
      </w:r>
      <w:r w:rsidR="07689369">
        <w:t>impacts and</w:t>
      </w:r>
      <w:r>
        <w:t xml:space="preserve"> empower people to effectively navigate increasingly complex information environments. This report examines the evidence for the efficacy of educational and related interventions in building resilience to mis and disinformation. We limit our report to the evidence from education, communication studies, and psychology; we will refer to the role of technological platforms only as it is relevant in this context. </w:t>
      </w:r>
    </w:p>
    <w:p w14:paraId="1134B53B" w14:textId="22BA4F5C" w:rsidR="00C00CEB" w:rsidRPr="0093148C" w:rsidRDefault="00C00CEB" w:rsidP="00425B1D">
      <w:r>
        <w:t>The report</w:t>
      </w:r>
      <w:r w:rsidR="29468A38">
        <w:t xml:space="preserve"> also</w:t>
      </w:r>
      <w:r>
        <w:t xml:space="preserve"> provides a framework for interventions according to </w:t>
      </w:r>
      <w:r w:rsidR="03D3C00F">
        <w:t>timescale</w:t>
      </w:r>
      <w:r>
        <w:t xml:space="preserve"> and associated psychological mechanisms. There are a variety of effective entry points for interventions, ranging from long</w:t>
      </w:r>
      <w:r w:rsidR="007A7BB6">
        <w:noBreakHyphen/>
      </w:r>
      <w:r>
        <w:t>term educational interventions to build information and media literacy, to short</w:t>
      </w:r>
      <w:r w:rsidR="007A7BB6">
        <w:noBreakHyphen/>
      </w:r>
      <w:r>
        <w:t>term interventions that pre</w:t>
      </w:r>
      <w:r w:rsidR="007A7BB6">
        <w:noBreakHyphen/>
      </w:r>
      <w:r>
        <w:t xml:space="preserve">empt misinformation or respond to it to mitigate its impact. The evidence base for each of these interventions is examined by reviewing existing and emerging academic literature providing insights into efficacy and the limitations of existing research. </w:t>
      </w:r>
    </w:p>
    <w:p w14:paraId="0B1AF612" w14:textId="27BF6EF7" w:rsidR="00C00CEB" w:rsidRPr="0093148C" w:rsidRDefault="00C00CEB" w:rsidP="00425B1D">
      <w:r w:rsidRPr="0093148C">
        <w:t>While there is vast experimental research on the efficacy of interventions, there is a need for more field</w:t>
      </w:r>
      <w:r w:rsidR="007A7BB6">
        <w:noBreakHyphen/>
      </w:r>
      <w:r w:rsidRPr="0093148C">
        <w:t>based studies. There is also an opportunity for future work to more specifically investigate the efficacy of misinformation interventions in Australia and in the Asia Pacific Region, to consider the role of cultural factors, and to explore how to effectively tailor interventions for vulnerable groups. Implementation challenges are investigated where evidence is available, and we draw on frameworks for intervention evaluation. Key issues for future research into intervention implementation within the Australian context are identified.</w:t>
      </w:r>
    </w:p>
    <w:p w14:paraId="245EBE19" w14:textId="6238F8E8" w:rsidR="00C00CEB" w:rsidRPr="00592485" w:rsidRDefault="00C00CEB" w:rsidP="00440304">
      <w:pPr>
        <w:pStyle w:val="Heading3"/>
      </w:pPr>
      <w:bookmarkStart w:id="42" w:name="_Toc218511660"/>
      <w:r w:rsidRPr="00592485">
        <w:t>Background</w:t>
      </w:r>
      <w:bookmarkEnd w:id="42"/>
    </w:p>
    <w:p w14:paraId="61AF8957" w14:textId="69FCDBE5" w:rsidR="00C00CEB" w:rsidRPr="00592485" w:rsidRDefault="00C00CEB" w:rsidP="00440304">
      <w:pPr>
        <w:pStyle w:val="Heading4"/>
      </w:pPr>
      <w:r w:rsidRPr="00592485">
        <w:t xml:space="preserve">Impacts of </w:t>
      </w:r>
      <w:r w:rsidR="27BD30D3">
        <w:t>m</w:t>
      </w:r>
      <w:r>
        <w:t>isinformation</w:t>
      </w:r>
    </w:p>
    <w:p w14:paraId="2935ACD3" w14:textId="39D2BDFB" w:rsidR="00E11077" w:rsidRPr="0093148C" w:rsidRDefault="00C00CEB" w:rsidP="00425B1D">
      <w:r w:rsidRPr="0093148C">
        <w:t>The effects of misinformation can be classified into persuasive and non</w:t>
      </w:r>
      <w:r w:rsidR="007A7BB6">
        <w:noBreakHyphen/>
      </w:r>
      <w:r w:rsidRPr="0093148C">
        <w:t xml:space="preserve">persuasive. </w:t>
      </w:r>
      <w:r w:rsidRPr="00224B7E">
        <w:rPr>
          <w:rStyle w:val="Strong"/>
        </w:rPr>
        <w:t>Persuasive effects</w:t>
      </w:r>
      <w:r w:rsidRPr="0093148C">
        <w:rPr>
          <w:i/>
        </w:rPr>
        <w:t xml:space="preserve"> </w:t>
      </w:r>
      <w:r w:rsidRPr="0093148C">
        <w:t>influence reasoning and decision</w:t>
      </w:r>
      <w:r w:rsidR="007A7BB6">
        <w:noBreakHyphen/>
      </w:r>
      <w:r w:rsidRPr="0093148C">
        <w:t xml:space="preserve">making, through the promotion of false beliefs. For </w:t>
      </w:r>
      <w:r w:rsidR="4D7BB595">
        <w:t>example</w:t>
      </w:r>
      <w:r w:rsidRPr="0093148C">
        <w:t>, misleading information about COVID</w:t>
      </w:r>
      <w:r w:rsidR="007A7BB6">
        <w:noBreakHyphen/>
      </w:r>
      <w:r w:rsidRPr="0093148C">
        <w:t xml:space="preserve">19 vaccines created misperceptions about their safety and reduced vaccination intentions </w:t>
      </w:r>
      <w:r w:rsidR="00051F06">
        <w:t>(</w:t>
      </w:r>
      <w:r w:rsidR="00051F06" w:rsidRPr="0093148C">
        <w:t>Loomba et al.</w:t>
      </w:r>
      <w:r w:rsidR="00051F06">
        <w:t xml:space="preserve"> </w:t>
      </w:r>
      <w:r w:rsidR="00051F06" w:rsidRPr="0093148C">
        <w:t>2023)</w:t>
      </w:r>
      <w:r w:rsidRPr="0093148C">
        <w:t xml:space="preserve">. There is also now convincing evidence that misinformation can influence </w:t>
      </w:r>
      <w:r w:rsidRPr="00264163">
        <w:t xml:space="preserve">behaviours </w:t>
      </w:r>
      <w:r w:rsidR="00051F06">
        <w:t>(</w:t>
      </w:r>
      <w:r w:rsidR="00051F06" w:rsidRPr="00264163">
        <w:t>Ecker et al.</w:t>
      </w:r>
      <w:r w:rsidR="00051F06">
        <w:t xml:space="preserve"> </w:t>
      </w:r>
      <w:r w:rsidR="00051F06" w:rsidRPr="00264163">
        <w:t>2025;</w:t>
      </w:r>
      <w:r w:rsidRPr="00264163">
        <w:t xml:space="preserve"> see</w:t>
      </w:r>
      <w:r w:rsidRPr="0093148C">
        <w:t xml:space="preserve"> also Lorenz</w:t>
      </w:r>
      <w:r w:rsidR="007A7BB6">
        <w:noBreakHyphen/>
      </w:r>
      <w:r w:rsidRPr="0093148C">
        <w:t>Spreen et al. 2022). Such persuasive effects can emerge from direct exposure, but also via indirect channels – for example, when online misinformation permeates offline conversations or spreads into mainstream media, influencing public</w:t>
      </w:r>
      <w:r w:rsidR="00E11077" w:rsidRPr="0093148C">
        <w:t xml:space="preserve"> debate and opinion. </w:t>
      </w:r>
    </w:p>
    <w:p w14:paraId="4E482C15" w14:textId="069B3795" w:rsidR="00E11077" w:rsidRPr="0093148C" w:rsidRDefault="00E11077" w:rsidP="00425B1D">
      <w:r w:rsidRPr="00224B7E">
        <w:rPr>
          <w:rStyle w:val="Strong"/>
        </w:rPr>
        <w:t>Non</w:t>
      </w:r>
      <w:r w:rsidR="007A7BB6" w:rsidRPr="00224B7E">
        <w:rPr>
          <w:rStyle w:val="Strong"/>
        </w:rPr>
        <w:noBreakHyphen/>
      </w:r>
      <w:r w:rsidRPr="00224B7E">
        <w:rPr>
          <w:rStyle w:val="Strong"/>
        </w:rPr>
        <w:t>persuasive effects</w:t>
      </w:r>
      <w:r w:rsidRPr="0093148C">
        <w:rPr>
          <w:i/>
        </w:rPr>
        <w:t xml:space="preserve"> </w:t>
      </w:r>
      <w:r w:rsidRPr="0093148C">
        <w:t>include</w:t>
      </w:r>
      <w:r w:rsidR="178029ED">
        <w:t>:</w:t>
      </w:r>
      <w:r w:rsidRPr="0093148C">
        <w:t xml:space="preserve"> </w:t>
      </w:r>
    </w:p>
    <w:p w14:paraId="1EF04E54" w14:textId="0CCC33B6" w:rsidR="00E11077" w:rsidRPr="00E41282" w:rsidRDefault="00E11077" w:rsidP="00E41282">
      <w:pPr>
        <w:pStyle w:val="ListParagraph"/>
      </w:pPr>
      <w:r w:rsidRPr="0093148C">
        <w:t xml:space="preserve">enhanced </w:t>
      </w:r>
      <w:r w:rsidRPr="00E41282">
        <w:t xml:space="preserve">institutional distrust </w:t>
      </w:r>
    </w:p>
    <w:p w14:paraId="7AEB873E" w14:textId="5E8ED619" w:rsidR="00E11077" w:rsidRPr="00E41282" w:rsidRDefault="00E11077" w:rsidP="00E41282">
      <w:pPr>
        <w:pStyle w:val="ListParagraph"/>
      </w:pPr>
      <w:r w:rsidRPr="00E41282">
        <w:t xml:space="preserve">societal division </w:t>
      </w:r>
    </w:p>
    <w:p w14:paraId="3956DBA1" w14:textId="5E2F9A49" w:rsidR="00E11077" w:rsidRPr="00E41282" w:rsidRDefault="00E11077" w:rsidP="00E41282">
      <w:pPr>
        <w:pStyle w:val="ListParagraph"/>
      </w:pPr>
      <w:r w:rsidRPr="00E41282">
        <w:t xml:space="preserve">citizen disengagement </w:t>
      </w:r>
    </w:p>
    <w:p w14:paraId="5E5CD853" w14:textId="6957E3ED" w:rsidR="00E11077" w:rsidRPr="0093148C" w:rsidRDefault="00E11077" w:rsidP="00E41282">
      <w:pPr>
        <w:pStyle w:val="ListParagraph"/>
      </w:pPr>
      <w:r w:rsidRPr="00E41282">
        <w:t>the abandonment</w:t>
      </w:r>
      <w:r w:rsidRPr="0093148C">
        <w:t xml:space="preserve"> of </w:t>
      </w:r>
      <w:bookmarkEnd w:id="3"/>
      <w:r w:rsidRPr="0093148C">
        <w:t xml:space="preserve">epistemic standards (e.g., valuing internal consistency of arguments). </w:t>
      </w:r>
    </w:p>
    <w:p w14:paraId="11819402" w14:textId="78A1FCA2" w:rsidR="00E11077" w:rsidRPr="0093148C" w:rsidRDefault="00E11077" w:rsidP="00425B1D">
      <w:r w:rsidRPr="0093148C">
        <w:t xml:space="preserve">These in turn can boost misinformation vulnerabilities in harmful feedback loops (Lewandowsky et al. 2017; Tay et al. 2024). </w:t>
      </w:r>
    </w:p>
    <w:p w14:paraId="250BF52B" w14:textId="2CD7F9F3" w:rsidR="00E30E59" w:rsidRDefault="6556358E" w:rsidP="007A7BB6">
      <w:r>
        <w:t>S</w:t>
      </w:r>
      <w:r w:rsidR="00E11077">
        <w:t>ome</w:t>
      </w:r>
      <w:r w:rsidR="00E11077" w:rsidRPr="0093148C">
        <w:t xml:space="preserve"> types of misinformation may not primarily aim to persuade but to sow confusion and distrust, for example when the environment is flooded with low</w:t>
      </w:r>
      <w:r w:rsidR="007A7BB6">
        <w:noBreakHyphen/>
      </w:r>
      <w:r w:rsidR="00E11077" w:rsidRPr="0093148C">
        <w:t>quality information, or specific groups are targeted with inflammatory content. Even though some misinformation effects may be small, compounding effects at the population level must be considered</w:t>
      </w:r>
      <w:r w:rsidR="275F1E33">
        <w:t>.</w:t>
      </w:r>
      <w:r w:rsidR="00E11077">
        <w:t xml:space="preserve"> </w:t>
      </w:r>
      <w:r w:rsidR="10F2E3B0">
        <w:t>A</w:t>
      </w:r>
      <w:r w:rsidR="00E11077" w:rsidRPr="0093148C">
        <w:t xml:space="preserve">n effective toolkit of interventions should therefore address the full range of misinformation types and potential impacts </w:t>
      </w:r>
      <w:r w:rsidR="00051F06">
        <w:t>(</w:t>
      </w:r>
      <w:r w:rsidR="00051F06" w:rsidRPr="0093148C">
        <w:t>Kozyreva et al.</w:t>
      </w:r>
      <w:r w:rsidR="00051F06">
        <w:t xml:space="preserve"> </w:t>
      </w:r>
      <w:r w:rsidR="00051F06" w:rsidRPr="0093148C">
        <w:t>2024)</w:t>
      </w:r>
      <w:r w:rsidR="00E11077" w:rsidRPr="0093148C">
        <w:t>.</w:t>
      </w:r>
    </w:p>
    <w:p w14:paraId="2178B661" w14:textId="77777777" w:rsidR="007A7BB6" w:rsidRPr="0093148C" w:rsidRDefault="007A7BB6" w:rsidP="007A7BB6">
      <w:pPr>
        <w:pStyle w:val="NoSpacing"/>
      </w:pPr>
    </w:p>
    <w:p w14:paraId="487463F1" w14:textId="5BA3E6BB" w:rsidR="007C3493" w:rsidRPr="00F37011" w:rsidRDefault="00F025A3" w:rsidP="003F348B">
      <w:pPr>
        <w:pStyle w:val="Calloutbox"/>
        <w:rPr>
          <w:rStyle w:val="Strong"/>
        </w:rPr>
      </w:pPr>
      <w:bookmarkStart w:id="43" w:name="_Hlk200097803"/>
      <w:r w:rsidRPr="00F37011">
        <w:rPr>
          <w:rStyle w:val="Strong"/>
        </w:rPr>
        <w:t xml:space="preserve">Defining </w:t>
      </w:r>
      <w:r w:rsidR="47AA1E0A" w:rsidRPr="00F37011">
        <w:rPr>
          <w:rStyle w:val="Strong"/>
        </w:rPr>
        <w:t>m</w:t>
      </w:r>
      <w:r w:rsidRPr="00F37011">
        <w:rPr>
          <w:rStyle w:val="Strong"/>
        </w:rPr>
        <w:t>is</w:t>
      </w:r>
      <w:r w:rsidR="00E30E59">
        <w:rPr>
          <w:rStyle w:val="Strong"/>
        </w:rPr>
        <w:t xml:space="preserve"> and </w:t>
      </w:r>
      <w:r w:rsidR="02133C46" w:rsidRPr="00F37011">
        <w:rPr>
          <w:rStyle w:val="Strong"/>
        </w:rPr>
        <w:t>d</w:t>
      </w:r>
      <w:r w:rsidRPr="00F37011">
        <w:rPr>
          <w:rStyle w:val="Strong"/>
        </w:rPr>
        <w:t>isinformation</w:t>
      </w:r>
      <w:r w:rsidR="00E641F3" w:rsidRPr="00F37011">
        <w:rPr>
          <w:rStyle w:val="Strong"/>
        </w:rPr>
        <w:t xml:space="preserve"> </w:t>
      </w:r>
    </w:p>
    <w:p w14:paraId="4FE96FA9" w14:textId="3E1BA9FF" w:rsidR="007C3493" w:rsidRPr="00E641F3" w:rsidRDefault="00F025A3" w:rsidP="003F348B">
      <w:pPr>
        <w:pStyle w:val="Calloutbox"/>
      </w:pPr>
      <w:r w:rsidRPr="00E641F3">
        <w:t xml:space="preserve">We use the term misinformation to broadly refer to all forms of false or misleading content, including but not limited to intentionally created and disseminated disinformation, to align with the psychological literature and the understanding of both experts and laypeople </w:t>
      </w:r>
      <w:r w:rsidR="00051F06">
        <w:t>(</w:t>
      </w:r>
      <w:r w:rsidR="00051F06" w:rsidRPr="00E641F3">
        <w:t>Altay et al.</w:t>
      </w:r>
      <w:r w:rsidR="00051F06">
        <w:t xml:space="preserve"> </w:t>
      </w:r>
      <w:r w:rsidR="00051F06" w:rsidRPr="00E641F3">
        <w:t>2023;</w:t>
      </w:r>
      <w:r w:rsidRPr="00E641F3">
        <w:t xml:space="preserve"> Ecker et al. 2022; </w:t>
      </w:r>
      <w:proofErr w:type="spellStart"/>
      <w:r w:rsidRPr="00E641F3">
        <w:t>Hameleers</w:t>
      </w:r>
      <w:proofErr w:type="spellEnd"/>
      <w:r w:rsidRPr="00E641F3">
        <w:t xml:space="preserve"> et al. 2022).</w:t>
      </w:r>
      <w:bookmarkEnd w:id="43"/>
    </w:p>
    <w:p w14:paraId="496D7BD0" w14:textId="77777777" w:rsidR="00F025A3" w:rsidRPr="00224B7E" w:rsidRDefault="00F025A3" w:rsidP="00224B7E">
      <w:pPr>
        <w:pStyle w:val="NoSpacing"/>
      </w:pPr>
    </w:p>
    <w:p w14:paraId="3406FE3C" w14:textId="5D369861" w:rsidR="00E11077" w:rsidRPr="00E30E59" w:rsidRDefault="00F025A3" w:rsidP="003F348B">
      <w:pPr>
        <w:pStyle w:val="Calloutbox"/>
        <w:rPr>
          <w:rStyle w:val="Strong"/>
        </w:rPr>
      </w:pPr>
      <w:r w:rsidRPr="00E30E59">
        <w:rPr>
          <w:rStyle w:val="Strong"/>
        </w:rPr>
        <w:t xml:space="preserve">Defining </w:t>
      </w:r>
      <w:r w:rsidR="65404D3F" w:rsidRPr="00E30E59">
        <w:rPr>
          <w:rStyle w:val="Strong"/>
        </w:rPr>
        <w:t>i</w:t>
      </w:r>
      <w:r w:rsidRPr="00E30E59">
        <w:rPr>
          <w:rStyle w:val="Strong"/>
        </w:rPr>
        <w:t xml:space="preserve">nformation </w:t>
      </w:r>
      <w:r w:rsidR="72BEDA09" w:rsidRPr="00E30E59">
        <w:rPr>
          <w:rStyle w:val="Strong"/>
        </w:rPr>
        <w:t>r</w:t>
      </w:r>
      <w:r w:rsidRPr="00E30E59">
        <w:rPr>
          <w:rStyle w:val="Strong"/>
        </w:rPr>
        <w:t xml:space="preserve">esilience </w:t>
      </w:r>
    </w:p>
    <w:p w14:paraId="0833B71A" w14:textId="23FB2323" w:rsidR="00E11077" w:rsidRPr="00E641F3" w:rsidRDefault="00F025A3" w:rsidP="003F348B">
      <w:pPr>
        <w:pStyle w:val="Calloutbox"/>
      </w:pPr>
      <w:r>
        <w:t xml:space="preserve">Information resilience refers to </w:t>
      </w:r>
      <w:r w:rsidR="0D5D0924">
        <w:t>an individual</w:t>
      </w:r>
      <w:r>
        <w:t xml:space="preserve">’s capacity to ward off or recover from the impact of misinformation when encountered. Across the misinformation field, researchers rarely measure information resilience directly, but rather infer resilience based on specific measures relevant to a given intervention. In the domains of </w:t>
      </w:r>
      <w:r w:rsidR="345D01F7">
        <w:t>i</w:t>
      </w:r>
      <w:r>
        <w:t xml:space="preserve">nformation </w:t>
      </w:r>
      <w:r w:rsidR="509004D8">
        <w:t>l</w:t>
      </w:r>
      <w:r>
        <w:t xml:space="preserve">iteracy, </w:t>
      </w:r>
      <w:r w:rsidR="6348342E">
        <w:t>m</w:t>
      </w:r>
      <w:r>
        <w:t xml:space="preserve">edia and </w:t>
      </w:r>
      <w:r w:rsidR="66E40E8E">
        <w:t>d</w:t>
      </w:r>
      <w:r>
        <w:t xml:space="preserve">igital </w:t>
      </w:r>
      <w:r w:rsidR="29086D33">
        <w:t>l</w:t>
      </w:r>
      <w:r>
        <w:t xml:space="preserve">iteracy, and </w:t>
      </w:r>
      <w:r w:rsidR="08665818">
        <w:t>s</w:t>
      </w:r>
      <w:r>
        <w:t xml:space="preserve">cience and </w:t>
      </w:r>
      <w:r w:rsidR="45E3DA26">
        <w:t>c</w:t>
      </w:r>
      <w:r>
        <w:t xml:space="preserve">ivics </w:t>
      </w:r>
      <w:r w:rsidR="496B4964">
        <w:t>e</w:t>
      </w:r>
      <w:r>
        <w:t xml:space="preserve">ducation, critical target measures range from information searching competency, assessing the credibility of content, discernment (the ability to differentiate between factual and misleading content), the ability to assess how people and ideas are represented, to civics engagement. In the domains of </w:t>
      </w:r>
      <w:r w:rsidR="611D3CC6">
        <w:t>c</w:t>
      </w:r>
      <w:r>
        <w:t xml:space="preserve">ognitive </w:t>
      </w:r>
      <w:r w:rsidR="3FA53A67">
        <w:t>s</w:t>
      </w:r>
      <w:r>
        <w:t xml:space="preserve">cience and </w:t>
      </w:r>
      <w:r w:rsidR="506C4714">
        <w:t>p</w:t>
      </w:r>
      <w:r>
        <w:t xml:space="preserve">olitical and </w:t>
      </w:r>
      <w:r w:rsidR="5A267EEE">
        <w:t>s</w:t>
      </w:r>
      <w:r>
        <w:t xml:space="preserve">ocial </w:t>
      </w:r>
      <w:r w:rsidR="600625B7">
        <w:t>p</w:t>
      </w:r>
      <w:r>
        <w:t>sychology, target measures include discernment, effects on cognition (memory, reasoning, decision</w:t>
      </w:r>
      <w:r w:rsidR="007A7BB6">
        <w:noBreakHyphen/>
      </w:r>
      <w:r>
        <w:t>making, beliefs, attitudes), and behavioural impacts including intentions and actions. In reviewing evidence across interventions, we will specify target outcome measures of information resilience and identify critical opportunities to extend these measures to better consider ancillary impacts and implementation challenges</w:t>
      </w:r>
      <w:r w:rsidR="006E3BF2">
        <w:t>.</w:t>
      </w:r>
    </w:p>
    <w:p w14:paraId="105D20D0" w14:textId="271B1498" w:rsidR="00906625" w:rsidRPr="003754B4" w:rsidRDefault="00E11077" w:rsidP="00440304">
      <w:pPr>
        <w:pStyle w:val="Heading4"/>
      </w:pPr>
      <w:r w:rsidRPr="003754B4">
        <w:t xml:space="preserve">Understanding the </w:t>
      </w:r>
      <w:r w:rsidR="0DB0C5CB">
        <w:t>i</w:t>
      </w:r>
      <w:r>
        <w:t xml:space="preserve">nformation </w:t>
      </w:r>
      <w:r w:rsidR="767DB57A">
        <w:t>e</w:t>
      </w:r>
      <w:r w:rsidRPr="003754B4">
        <w:t>nvironment</w:t>
      </w:r>
    </w:p>
    <w:p w14:paraId="5FC080E9" w14:textId="5D49F055" w:rsidR="00664344" w:rsidRPr="00887C6D" w:rsidRDefault="00E11077" w:rsidP="00425B1D">
      <w:pPr>
        <w:rPr>
          <w:bCs/>
          <w:sz w:val="28"/>
          <w:szCs w:val="28"/>
        </w:rPr>
      </w:pPr>
      <w:r w:rsidRPr="0093148C">
        <w:t xml:space="preserve">The </w:t>
      </w:r>
      <w:r w:rsidR="1B89C27C" w:rsidRPr="0093148C">
        <w:t>‘</w:t>
      </w:r>
      <w:r w:rsidRPr="0093148C">
        <w:t>information environment</w:t>
      </w:r>
      <w:r w:rsidR="10AEDBA0" w:rsidRPr="0093148C">
        <w:t>’</w:t>
      </w:r>
      <w:r w:rsidRPr="0093148C">
        <w:t xml:space="preserve"> is a socio</w:t>
      </w:r>
      <w:r w:rsidR="007A7BB6">
        <w:noBreakHyphen/>
      </w:r>
      <w:r w:rsidRPr="0093148C">
        <w:t>political space in which information is created, stored, and exchanged between individuals, communities, organisations, and governments. The information environment in a functioning democracy needs to privilege accurate information and encourage shared understandings, as these are fundamental to good</w:t>
      </w:r>
      <w:r w:rsidR="007A7BB6">
        <w:noBreakHyphen/>
      </w:r>
      <w:r w:rsidRPr="0093148C">
        <w:t xml:space="preserve">faith public debate and normatively optimal policymaking </w:t>
      </w:r>
      <w:r w:rsidR="00051F06">
        <w:t>(</w:t>
      </w:r>
      <w:r w:rsidR="00051F06" w:rsidRPr="0093148C">
        <w:t>Lewandowsky et al.</w:t>
      </w:r>
      <w:r w:rsidR="00051F06">
        <w:t xml:space="preserve"> </w:t>
      </w:r>
      <w:r w:rsidR="00051F06" w:rsidRPr="0093148C">
        <w:t>202</w:t>
      </w:r>
      <w:r w:rsidR="00051F06">
        <w:t>3</w:t>
      </w:r>
      <w:r w:rsidR="00051F06" w:rsidRPr="0093148C">
        <w:t>)</w:t>
      </w:r>
      <w:r w:rsidRPr="0093148C">
        <w:t xml:space="preserve">. Australia is a signatory </w:t>
      </w:r>
      <w:r w:rsidR="00AE4CE0">
        <w:t xml:space="preserve">to the </w:t>
      </w:r>
      <w:r w:rsidR="00AE4CE0" w:rsidRPr="00AE4CE0">
        <w:t>Global Declaration on Information Integrity Online</w:t>
      </w:r>
      <w:r w:rsidRPr="0093148C">
        <w:t xml:space="preserve">, which seeks to promote an </w:t>
      </w:r>
      <w:r w:rsidR="000822DE">
        <w:t>‘</w:t>
      </w:r>
      <w:r w:rsidRPr="0093148C">
        <w:t>information ecosystem that produces accurate, trustworthy, and reliable information.</w:t>
      </w:r>
      <w:r w:rsidR="000822DE">
        <w:t>’</w:t>
      </w:r>
      <w:r w:rsidR="00F025A3">
        <w:rPr>
          <w:rStyle w:val="FootnoteReference"/>
        </w:rPr>
        <w:footnoteReference w:id="2"/>
      </w:r>
      <w:r w:rsidRPr="0093148C">
        <w:t xml:space="preserve"> This is threatened by the misinformation effects outlined above.</w:t>
      </w:r>
    </w:p>
    <w:p w14:paraId="771E5112" w14:textId="6BBAD26C" w:rsidR="0093148C" w:rsidRPr="0093148C" w:rsidRDefault="00E11077" w:rsidP="00425B1D">
      <w:pPr>
        <w:rPr>
          <w:b/>
        </w:rPr>
      </w:pPr>
      <w:r w:rsidRPr="0093148C">
        <w:t>The information environment constantly evolves. The emergence of online and social media has brought about an almost infinite amount of information, placing greater demands on cognitive processing and information</w:t>
      </w:r>
      <w:r w:rsidR="007A7BB6">
        <w:noBreakHyphen/>
      </w:r>
      <w:r w:rsidRPr="0093148C">
        <w:t>discernment skills. Online information is also curated by non</w:t>
      </w:r>
      <w:r w:rsidR="007A7BB6">
        <w:noBreakHyphen/>
      </w:r>
      <w:r w:rsidRPr="0093148C">
        <w:t>transparent algorithms, which favour content that generates emotions, fosters non</w:t>
      </w:r>
      <w:r w:rsidR="007A7BB6">
        <w:noBreakHyphen/>
      </w:r>
      <w:r w:rsidRPr="0093148C">
        <w:t xml:space="preserve">analytical thinking and impulsive sharing, and maintains user engagement, with little regard for veracity </w:t>
      </w:r>
      <w:r w:rsidR="00051F06">
        <w:t>(</w:t>
      </w:r>
      <w:r w:rsidR="00051F06" w:rsidRPr="0093148C">
        <w:t>Kozyreva et al.</w:t>
      </w:r>
      <w:r w:rsidR="00051F06">
        <w:t xml:space="preserve"> </w:t>
      </w:r>
      <w:r w:rsidR="00051F06" w:rsidRPr="0093148C">
        <w:t>2020)</w:t>
      </w:r>
      <w:r w:rsidRPr="0093148C">
        <w:t>. The</w:t>
      </w:r>
      <w:r w:rsidR="00887C6D">
        <w:t> </w:t>
      </w:r>
      <w:r w:rsidRPr="0093148C">
        <w:t>emergence of generative artificial</w:t>
      </w:r>
      <w:r w:rsidR="007A7BB6">
        <w:noBreakHyphen/>
      </w:r>
      <w:r w:rsidRPr="0093148C">
        <w:t xml:space="preserve">intelligence (AI) tools presents new challenges, as they can be used to produce misleading persuasive arguments and </w:t>
      </w:r>
      <w:r w:rsidR="4BD84B42">
        <w:t>‘</w:t>
      </w:r>
      <w:r>
        <w:t>deepfake</w:t>
      </w:r>
      <w:r w:rsidR="268A1B13">
        <w:t>’</w:t>
      </w:r>
      <w:r w:rsidRPr="0093148C">
        <w:t xml:space="preserve"> audiovisual content at scale</w:t>
      </w:r>
      <w:r w:rsidR="002C0846">
        <w:t xml:space="preserve"> </w:t>
      </w:r>
      <w:r w:rsidR="00545137" w:rsidRPr="005F0C84">
        <w:t>(Clark and Lewandowsky 2026; Nygren et al. 2026)</w:t>
      </w:r>
      <w:r w:rsidRPr="0093148C">
        <w:t xml:space="preserve">. Such content is difficult to detect and easily tailored to vulnerable recipients </w:t>
      </w:r>
      <w:r w:rsidR="00051F06">
        <w:t>(</w:t>
      </w:r>
      <w:r w:rsidR="00051F06" w:rsidRPr="0093148C">
        <w:t>Garry et al.</w:t>
      </w:r>
      <w:r w:rsidR="00051F06">
        <w:t xml:space="preserve"> </w:t>
      </w:r>
      <w:r w:rsidR="00051F06" w:rsidRPr="0093148C">
        <w:t>2024;</w:t>
      </w:r>
      <w:r w:rsidRPr="0093148C">
        <w:t xml:space="preserve"> </w:t>
      </w:r>
      <w:proofErr w:type="spellStart"/>
      <w:r w:rsidRPr="0093148C">
        <w:t>Simchon</w:t>
      </w:r>
      <w:proofErr w:type="spellEnd"/>
      <w:r w:rsidRPr="0093148C">
        <w:t xml:space="preserve"> et al. 2024).</w:t>
      </w:r>
    </w:p>
    <w:p w14:paraId="611904FE" w14:textId="75DCDCF9" w:rsidR="00906625" w:rsidRPr="003754B4" w:rsidRDefault="00E11077" w:rsidP="00440304">
      <w:pPr>
        <w:pStyle w:val="Heading4"/>
      </w:pPr>
      <w:r w:rsidRPr="003754B4">
        <w:t xml:space="preserve">Intervention </w:t>
      </w:r>
      <w:r w:rsidR="185302F2">
        <w:t>r</w:t>
      </w:r>
      <w:r w:rsidRPr="003754B4">
        <w:t>esearch</w:t>
      </w:r>
    </w:p>
    <w:p w14:paraId="3E2FBEC7" w14:textId="7460401B" w:rsidR="00E11077" w:rsidRPr="0093148C" w:rsidRDefault="00E11077" w:rsidP="00425B1D">
      <w:r w:rsidRPr="0093148C">
        <w:t xml:space="preserve">We focus our report on the evidence base </w:t>
      </w:r>
      <w:r>
        <w:t>regardin</w:t>
      </w:r>
      <w:r w:rsidR="3085E41F">
        <w:t>g</w:t>
      </w:r>
      <w:r w:rsidRPr="0093148C">
        <w:t xml:space="preserve"> the efficacy of interventions to support individuals to</w:t>
      </w:r>
      <w:r w:rsidR="7CC2B759">
        <w:t>:</w:t>
      </w:r>
      <w:r>
        <w:t xml:space="preserve"> </w:t>
      </w:r>
    </w:p>
    <w:p w14:paraId="7C25DB61" w14:textId="243BA034" w:rsidR="00E11077" w:rsidRPr="0093148C" w:rsidRDefault="00224B7E" w:rsidP="006F3460">
      <w:pPr>
        <w:numPr>
          <w:ilvl w:val="0"/>
          <w:numId w:val="46"/>
        </w:numPr>
        <w:ind w:left="567" w:hanging="567"/>
      </w:pPr>
      <w:r>
        <w:t>b</w:t>
      </w:r>
      <w:r w:rsidR="00E11077" w:rsidRPr="0093148C">
        <w:t xml:space="preserve">uild competencies and knowledge to navigate information environments (mainly </w:t>
      </w:r>
      <w:r w:rsidR="00E11077" w:rsidRPr="00224B7E">
        <w:rPr>
          <w:rStyle w:val="Strong"/>
        </w:rPr>
        <w:t>pre</w:t>
      </w:r>
      <w:r w:rsidR="007A7BB6" w:rsidRPr="00224B7E">
        <w:rPr>
          <w:rStyle w:val="Strong"/>
        </w:rPr>
        <w:noBreakHyphen/>
      </w:r>
      <w:r w:rsidR="00E11077" w:rsidRPr="00224B7E">
        <w:rPr>
          <w:rStyle w:val="Strong"/>
        </w:rPr>
        <w:t>emptive</w:t>
      </w:r>
      <w:r w:rsidR="00E11077" w:rsidRPr="5AFE0840">
        <w:t xml:space="preserve"> </w:t>
      </w:r>
      <w:r w:rsidR="00E11077" w:rsidRPr="0093148C">
        <w:t>interventions</w:t>
      </w:r>
      <w:r w:rsidR="00E11077">
        <w:t>)</w:t>
      </w:r>
    </w:p>
    <w:p w14:paraId="03E42AFE" w14:textId="67BCD87B" w:rsidR="00E11077" w:rsidRPr="0093148C" w:rsidRDefault="00224B7E" w:rsidP="006F3460">
      <w:pPr>
        <w:numPr>
          <w:ilvl w:val="0"/>
          <w:numId w:val="46"/>
        </w:numPr>
        <w:ind w:left="567" w:hanging="567"/>
      </w:pPr>
      <w:r>
        <w:t>u</w:t>
      </w:r>
      <w:r w:rsidR="00E11077" w:rsidRPr="0093148C">
        <w:t>pdate their knowledge, beliefs, and memory to counter the impact of misleading and false content (mainly</w:t>
      </w:r>
      <w:r w:rsidR="00E11077" w:rsidRPr="00224B7E">
        <w:rPr>
          <w:rStyle w:val="Strong"/>
        </w:rPr>
        <w:t xml:space="preserve"> responsive</w:t>
      </w:r>
      <w:r w:rsidR="00E11077" w:rsidRPr="5626F1E8">
        <w:t xml:space="preserve"> </w:t>
      </w:r>
      <w:r w:rsidR="00E11077" w:rsidRPr="00496E2C">
        <w:rPr>
          <w:iCs/>
        </w:rPr>
        <w:t>inter</w:t>
      </w:r>
      <w:r w:rsidR="00E11077" w:rsidRPr="0093148C">
        <w:t>ventions)</w:t>
      </w:r>
      <w:r>
        <w:t xml:space="preserve">. </w:t>
      </w:r>
    </w:p>
    <w:p w14:paraId="3B93D3D4" w14:textId="4628B630" w:rsidR="00906625" w:rsidRPr="0093148C" w:rsidRDefault="00E11077" w:rsidP="00425B1D">
      <w:r w:rsidRPr="0093148C">
        <w:t>We also cover responses to misinformation in the form of in</w:t>
      </w:r>
      <w:r w:rsidR="007A7BB6">
        <w:noBreakHyphen/>
      </w:r>
      <w:r w:rsidRPr="0093148C">
        <w:t>the</w:t>
      </w:r>
      <w:r w:rsidR="007A7BB6">
        <w:noBreakHyphen/>
      </w:r>
      <w:r w:rsidRPr="0093148C">
        <w:t xml:space="preserve">moment interventions that create processing friction, as well as interventions that target misinformation supply (for reviews, see Ecker et al. 2022; Kozyreva et al. 2024) </w:t>
      </w:r>
    </w:p>
    <w:p w14:paraId="313245B5" w14:textId="5306DB3F" w:rsidR="00E11077" w:rsidRPr="003F348B" w:rsidRDefault="00E11077" w:rsidP="00333BE7">
      <w:pPr>
        <w:pStyle w:val="Caption"/>
      </w:pPr>
      <w:r w:rsidRPr="003F348B">
        <w:t>Figure 1</w:t>
      </w:r>
      <w:r w:rsidR="003F348B" w:rsidRPr="003F348B">
        <w:t>:</w:t>
      </w:r>
      <w:r w:rsidRPr="003F348B">
        <w:t xml:space="preserve"> Conceptual </w:t>
      </w:r>
      <w:r w:rsidR="686D08E6" w:rsidRPr="003F348B">
        <w:t>f</w:t>
      </w:r>
      <w:r w:rsidRPr="003F348B">
        <w:t xml:space="preserve">ramework for </w:t>
      </w:r>
      <w:r w:rsidR="38F1D7B3" w:rsidRPr="003F348B">
        <w:t>m</w:t>
      </w:r>
      <w:r w:rsidRPr="003F348B">
        <w:t xml:space="preserve">isinformation </w:t>
      </w:r>
      <w:r w:rsidR="52DC9229" w:rsidRPr="003F348B">
        <w:t>i</w:t>
      </w:r>
      <w:r w:rsidRPr="003F348B">
        <w:t>ntervention</w:t>
      </w:r>
      <w:r w:rsidR="00107E36" w:rsidRPr="003F348B">
        <w:t>s</w:t>
      </w:r>
    </w:p>
    <w:tbl>
      <w:tblPr>
        <w:tblStyle w:val="ListTable3-Accent3"/>
        <w:tblW w:w="5000" w:type="pct"/>
        <w:tblLook w:val="0420" w:firstRow="1" w:lastRow="0" w:firstColumn="0" w:lastColumn="0" w:noHBand="0" w:noVBand="1"/>
      </w:tblPr>
      <w:tblGrid>
        <w:gridCol w:w="2689"/>
        <w:gridCol w:w="2268"/>
        <w:gridCol w:w="1560"/>
        <w:gridCol w:w="2499"/>
      </w:tblGrid>
      <w:tr w:rsidR="00060967" w:rsidRPr="00E11077" w14:paraId="579FFAE4" w14:textId="77777777" w:rsidTr="00B86B75">
        <w:trPr>
          <w:cnfStyle w:val="100000000000" w:firstRow="1" w:lastRow="0" w:firstColumn="0" w:lastColumn="0" w:oddVBand="0" w:evenVBand="0" w:oddHBand="0" w:evenHBand="0" w:firstRowFirstColumn="0" w:firstRowLastColumn="0" w:lastRowFirstColumn="0" w:lastRowLastColumn="0"/>
        </w:trPr>
        <w:tc>
          <w:tcPr>
            <w:tcW w:w="1491" w:type="pct"/>
            <w:shd w:val="clear" w:color="auto" w:fill="95C423" w:themeFill="accent2"/>
          </w:tcPr>
          <w:p w14:paraId="63A4108C" w14:textId="753A33EA" w:rsidR="00E11077" w:rsidRPr="007A7BB6" w:rsidRDefault="00E11077" w:rsidP="00B86B75">
            <w:pPr>
              <w:pStyle w:val="TableText"/>
              <w:rPr>
                <w:color w:val="auto"/>
              </w:rPr>
            </w:pPr>
            <w:r w:rsidRPr="007A7BB6">
              <w:rPr>
                <w:color w:val="auto"/>
              </w:rPr>
              <w:t>Pre</w:t>
            </w:r>
            <w:r w:rsidR="007A7BB6">
              <w:rPr>
                <w:color w:val="auto"/>
              </w:rPr>
              <w:noBreakHyphen/>
            </w:r>
            <w:r w:rsidRPr="007A7BB6">
              <w:rPr>
                <w:color w:val="auto"/>
              </w:rPr>
              <w:t xml:space="preserve">emptive </w:t>
            </w:r>
            <w:r w:rsidR="007A7BB6" w:rsidRPr="007A7BB6">
              <w:rPr>
                <w:color w:val="auto"/>
              </w:rPr>
              <w:br/>
              <w:t>Competencies: long</w:t>
            </w:r>
            <w:r w:rsidR="007A7BB6">
              <w:rPr>
                <w:color w:val="auto"/>
              </w:rPr>
              <w:noBreakHyphen/>
            </w:r>
            <w:r w:rsidR="007A7BB6" w:rsidRPr="007A7BB6">
              <w:rPr>
                <w:color w:val="auto"/>
              </w:rPr>
              <w:t>term</w:t>
            </w:r>
          </w:p>
        </w:tc>
        <w:tc>
          <w:tcPr>
            <w:tcW w:w="1258" w:type="pct"/>
            <w:shd w:val="clear" w:color="auto" w:fill="95C423" w:themeFill="accent2"/>
          </w:tcPr>
          <w:p w14:paraId="281BA4A0" w14:textId="2B84574C" w:rsidR="00E11077" w:rsidRPr="00B86B75" w:rsidRDefault="00E11077" w:rsidP="00B86B75">
            <w:pPr>
              <w:pStyle w:val="TableText"/>
              <w:rPr>
                <w:b w:val="0"/>
                <w:color w:val="auto"/>
              </w:rPr>
            </w:pPr>
            <w:r w:rsidRPr="00B86B75">
              <w:rPr>
                <w:color w:val="auto"/>
              </w:rPr>
              <w:t>Pre</w:t>
            </w:r>
            <w:r w:rsidR="007A7BB6">
              <w:rPr>
                <w:color w:val="auto"/>
              </w:rPr>
              <w:noBreakHyphen/>
            </w:r>
            <w:r w:rsidRPr="00B86B75">
              <w:rPr>
                <w:color w:val="auto"/>
              </w:rPr>
              <w:t xml:space="preserve">emptive </w:t>
            </w:r>
            <w:r w:rsidR="007A7BB6">
              <w:rPr>
                <w:color w:val="auto"/>
              </w:rPr>
              <w:br/>
            </w:r>
            <w:r w:rsidR="007A7BB6" w:rsidRPr="00B86B75">
              <w:rPr>
                <w:color w:val="auto"/>
              </w:rPr>
              <w:t>Competencies: brief</w:t>
            </w:r>
          </w:p>
        </w:tc>
        <w:tc>
          <w:tcPr>
            <w:tcW w:w="865" w:type="pct"/>
            <w:shd w:val="clear" w:color="auto" w:fill="377C0B" w:themeFill="accent1"/>
          </w:tcPr>
          <w:p w14:paraId="478758D4" w14:textId="5FC97F79" w:rsidR="00E11077" w:rsidRPr="00B86B75" w:rsidRDefault="00E11077" w:rsidP="00B86B75">
            <w:pPr>
              <w:pStyle w:val="TableText"/>
              <w:rPr>
                <w:b w:val="0"/>
              </w:rPr>
            </w:pPr>
            <w:r w:rsidRPr="00E11077">
              <w:t xml:space="preserve">Responsive </w:t>
            </w:r>
            <w:r w:rsidR="007A7BB6">
              <w:br/>
            </w:r>
            <w:r w:rsidR="007A7BB6" w:rsidRPr="00B86B75">
              <w:t>Contextual</w:t>
            </w:r>
          </w:p>
        </w:tc>
        <w:tc>
          <w:tcPr>
            <w:tcW w:w="1386" w:type="pct"/>
          </w:tcPr>
          <w:p w14:paraId="2E679A87" w14:textId="35D92832" w:rsidR="00E11077" w:rsidRPr="00B86B75" w:rsidRDefault="00E11077" w:rsidP="00B86B75">
            <w:pPr>
              <w:pStyle w:val="TableText"/>
              <w:rPr>
                <w:b w:val="0"/>
              </w:rPr>
            </w:pPr>
            <w:r w:rsidRPr="00E11077">
              <w:t xml:space="preserve">Responsive </w:t>
            </w:r>
            <w:r w:rsidR="007A7BB6">
              <w:br/>
            </w:r>
            <w:r w:rsidR="007A7BB6" w:rsidRPr="00B86B75">
              <w:t xml:space="preserve">Updating </w:t>
            </w:r>
            <w:r w:rsidR="007A7BB6">
              <w:t>and</w:t>
            </w:r>
            <w:r w:rsidR="007A7BB6" w:rsidRPr="00B86B75">
              <w:t xml:space="preserve"> evaluation</w:t>
            </w:r>
          </w:p>
        </w:tc>
      </w:tr>
      <w:tr w:rsidR="00E93220" w:rsidRPr="00B86B75" w14:paraId="57E7028C" w14:textId="77777777" w:rsidTr="00B86B75">
        <w:trPr>
          <w:cnfStyle w:val="000000100000" w:firstRow="0" w:lastRow="0" w:firstColumn="0" w:lastColumn="0" w:oddVBand="0" w:evenVBand="0" w:oddHBand="1" w:evenHBand="0" w:firstRowFirstColumn="0" w:firstRowLastColumn="0" w:lastRowFirstColumn="0" w:lastRowLastColumn="0"/>
        </w:trPr>
        <w:tc>
          <w:tcPr>
            <w:tcW w:w="1491" w:type="pct"/>
          </w:tcPr>
          <w:p w14:paraId="2F68F278" w14:textId="77777777" w:rsidR="00E11077" w:rsidRPr="00B86B75" w:rsidRDefault="00E11077" w:rsidP="00B86B75">
            <w:pPr>
              <w:pStyle w:val="TableBullets"/>
            </w:pPr>
            <w:r w:rsidRPr="00B86B75">
              <w:t>Information literacy</w:t>
            </w:r>
          </w:p>
          <w:p w14:paraId="682A9FD0" w14:textId="77777777" w:rsidR="00E11077" w:rsidRPr="00B86B75" w:rsidRDefault="00E11077" w:rsidP="00B86B75">
            <w:pPr>
              <w:pStyle w:val="TableBullets"/>
            </w:pPr>
            <w:r w:rsidRPr="00B86B75">
              <w:t>Media and digital literacy</w:t>
            </w:r>
          </w:p>
          <w:p w14:paraId="4641CD92" w14:textId="77777777" w:rsidR="00E11077" w:rsidRPr="00B86B75" w:rsidRDefault="00E11077" w:rsidP="00B86B75">
            <w:pPr>
              <w:pStyle w:val="TableBullets"/>
            </w:pPr>
            <w:r w:rsidRPr="00B86B75">
              <w:t>Broader benefits of education</w:t>
            </w:r>
          </w:p>
        </w:tc>
        <w:tc>
          <w:tcPr>
            <w:tcW w:w="1258" w:type="pct"/>
          </w:tcPr>
          <w:p w14:paraId="6578402A" w14:textId="77777777" w:rsidR="00E11077" w:rsidRPr="00B86B75" w:rsidRDefault="00E11077" w:rsidP="00B86B75">
            <w:pPr>
              <w:pStyle w:val="TableBullets"/>
            </w:pPr>
            <w:proofErr w:type="spellStart"/>
            <w:r w:rsidRPr="00B86B75">
              <w:t>Prebunking</w:t>
            </w:r>
            <w:proofErr w:type="spellEnd"/>
          </w:p>
          <w:p w14:paraId="51427B33" w14:textId="4B230C93" w:rsidR="00E11077" w:rsidRPr="00B86B75" w:rsidRDefault="00E11077" w:rsidP="009522B5">
            <w:pPr>
              <w:pStyle w:val="TableBullets"/>
              <w:numPr>
                <w:ilvl w:val="0"/>
                <w:numId w:val="48"/>
              </w:numPr>
            </w:pPr>
            <w:r w:rsidRPr="00B86B75">
              <w:t xml:space="preserve">Embedded </w:t>
            </w:r>
            <w:r w:rsidR="00AD265C">
              <w:t>media literacy</w:t>
            </w:r>
            <w:r w:rsidRPr="00B86B75">
              <w:t xml:space="preserve"> tips</w:t>
            </w:r>
          </w:p>
        </w:tc>
        <w:tc>
          <w:tcPr>
            <w:tcW w:w="865" w:type="pct"/>
          </w:tcPr>
          <w:p w14:paraId="7E7D3B99" w14:textId="77777777" w:rsidR="00E11077" w:rsidRPr="00B86B75" w:rsidRDefault="00E11077" w:rsidP="00B86B75">
            <w:pPr>
              <w:pStyle w:val="TableBullets"/>
            </w:pPr>
            <w:r w:rsidRPr="00B86B75">
              <w:t>Creating friction</w:t>
            </w:r>
          </w:p>
        </w:tc>
        <w:tc>
          <w:tcPr>
            <w:tcW w:w="1386" w:type="pct"/>
          </w:tcPr>
          <w:p w14:paraId="25646840" w14:textId="77777777" w:rsidR="00E11077" w:rsidRPr="00B86B75" w:rsidRDefault="00E11077" w:rsidP="00B86B75">
            <w:pPr>
              <w:pStyle w:val="TableBullets"/>
            </w:pPr>
            <w:r w:rsidRPr="00B86B75">
              <w:t>Debunking</w:t>
            </w:r>
          </w:p>
          <w:p w14:paraId="180028E8" w14:textId="77777777" w:rsidR="00E11077" w:rsidRPr="00B86B75" w:rsidRDefault="00E11077" w:rsidP="00B86B75">
            <w:pPr>
              <w:pStyle w:val="TableBullets"/>
            </w:pPr>
            <w:r w:rsidRPr="00B86B75">
              <w:t>Source discreditation</w:t>
            </w:r>
          </w:p>
          <w:p w14:paraId="592E14F6" w14:textId="3B120A8C" w:rsidR="00E11077" w:rsidRPr="00B86B75" w:rsidRDefault="00E11077" w:rsidP="00B86B75">
            <w:pPr>
              <w:pStyle w:val="TableBullets"/>
            </w:pPr>
            <w:r w:rsidRPr="00B86B75">
              <w:t>Crowd</w:t>
            </w:r>
            <w:r w:rsidR="007A7BB6">
              <w:noBreakHyphen/>
            </w:r>
            <w:r w:rsidRPr="00B86B75">
              <w:t>sourcing</w:t>
            </w:r>
          </w:p>
        </w:tc>
      </w:tr>
    </w:tbl>
    <w:p w14:paraId="799A6222" w14:textId="62AAFF2E" w:rsidR="00333BE7" w:rsidRDefault="00E11077" w:rsidP="00333BE7">
      <w:pPr>
        <w:pStyle w:val="NoteSource"/>
      </w:pPr>
      <w:r w:rsidRPr="00333BE7">
        <w:t>Note</w:t>
      </w:r>
      <w:r w:rsidR="00333BE7">
        <w:t>:</w:t>
      </w:r>
      <w:r w:rsidRPr="00333BE7">
        <w:t xml:space="preserve"> Contextual interventions target features of the information environment.</w:t>
      </w:r>
    </w:p>
    <w:p w14:paraId="4DD73F82" w14:textId="610E3880" w:rsidR="003B0E86" w:rsidRPr="00333BE7" w:rsidRDefault="003B0E86" w:rsidP="00333BE7">
      <w:pPr>
        <w:pStyle w:val="NoteSource"/>
      </w:pPr>
      <w:r>
        <w:br w:type="page"/>
      </w:r>
    </w:p>
    <w:p w14:paraId="55AC2A21" w14:textId="5AB95211" w:rsidR="00E11077" w:rsidRPr="003754B4" w:rsidRDefault="00E11077" w:rsidP="00440304">
      <w:pPr>
        <w:pStyle w:val="Heading2Numbered"/>
      </w:pPr>
      <w:bookmarkStart w:id="44" w:name="_Toc204091417"/>
      <w:bookmarkStart w:id="45" w:name="_Toc218511661"/>
      <w:r w:rsidRPr="003754B4">
        <w:t>Pre-</w:t>
      </w:r>
      <w:r w:rsidR="2D820818" w:rsidRPr="00440304">
        <w:t>e</w:t>
      </w:r>
      <w:r w:rsidRPr="00440304">
        <w:t>mptive</w:t>
      </w:r>
      <w:r w:rsidRPr="003754B4">
        <w:t xml:space="preserve"> </w:t>
      </w:r>
      <w:r w:rsidR="46359850">
        <w:t>i</w:t>
      </w:r>
      <w:r w:rsidRPr="003754B4">
        <w:t>nterventions</w:t>
      </w:r>
      <w:bookmarkEnd w:id="44"/>
      <w:bookmarkEnd w:id="45"/>
    </w:p>
    <w:p w14:paraId="55C26C5A" w14:textId="76F9D70B" w:rsidR="00B86B75" w:rsidRPr="0093148C" w:rsidRDefault="00E11077" w:rsidP="00425B1D">
      <w:bookmarkStart w:id="46" w:name="_Hlk218504180"/>
      <w:r w:rsidRPr="0093148C">
        <w:t xml:space="preserve">These interventions are critical targets, as they seek to endow students and citizens with </w:t>
      </w:r>
      <w:r w:rsidR="00425B1D" w:rsidRPr="0093148C">
        <w:t>long</w:t>
      </w:r>
      <w:r w:rsidR="007A7BB6">
        <w:noBreakHyphen/>
      </w:r>
      <w:r w:rsidR="00425B1D" w:rsidRPr="0093148C">
        <w:t>term</w:t>
      </w:r>
      <w:r w:rsidRPr="0093148C">
        <w:t>, robust skills to effectively navigate the information environment. These</w:t>
      </w:r>
      <w:r w:rsidR="006F3460">
        <w:t> </w:t>
      </w:r>
      <w:r w:rsidRPr="0093148C">
        <w:t>interventions aim to foster information resilience by building information literacy, critical thinking, as well as digital media and communication competencies. Such skills assist individuals in effectively identifying low</w:t>
      </w:r>
      <w:r w:rsidR="007A7BB6">
        <w:noBreakHyphen/>
      </w:r>
      <w:r w:rsidRPr="0093148C">
        <w:t>quality information sources, logical fallacies or inconsistencies, and attempts at nefarious persuasion.</w:t>
      </w:r>
      <w:bookmarkEnd w:id="46"/>
    </w:p>
    <w:p w14:paraId="49F72F8F" w14:textId="6F0B58ED" w:rsidR="00E11077" w:rsidRPr="003754B4" w:rsidRDefault="00E11077" w:rsidP="00333BE7">
      <w:pPr>
        <w:pStyle w:val="Heading3Numbered"/>
      </w:pPr>
      <w:bookmarkStart w:id="47" w:name="_Toc218511662"/>
      <w:r w:rsidRPr="003754B4">
        <w:t xml:space="preserve">Competencies </w:t>
      </w:r>
      <w:r w:rsidR="544D5833">
        <w:t>d</w:t>
      </w:r>
      <w:r>
        <w:t xml:space="preserve">eveloped </w:t>
      </w:r>
      <w:r w:rsidR="4367CC78">
        <w:t>t</w:t>
      </w:r>
      <w:r w:rsidRPr="003754B4">
        <w:t xml:space="preserve">hrough </w:t>
      </w:r>
      <w:r w:rsidR="6FABE61D">
        <w:t>l</w:t>
      </w:r>
      <w:r>
        <w:t>ong-</w:t>
      </w:r>
      <w:r w:rsidR="2454B918">
        <w:t>t</w:t>
      </w:r>
      <w:r>
        <w:t xml:space="preserve">erm </w:t>
      </w:r>
      <w:r w:rsidR="38CE74D9">
        <w:t>i</w:t>
      </w:r>
      <w:r w:rsidRPr="003754B4">
        <w:t>nterventions (</w:t>
      </w:r>
      <w:r w:rsidR="03C58D55">
        <w:t>e</w:t>
      </w:r>
      <w:r>
        <w:t>ducation</w:t>
      </w:r>
      <w:r w:rsidR="000822DE">
        <w:t> </w:t>
      </w:r>
      <w:r w:rsidR="7983FAAE">
        <w:t>c</w:t>
      </w:r>
      <w:r w:rsidRPr="003754B4">
        <w:t>urriculum</w:t>
      </w:r>
      <w:r w:rsidR="000822DE">
        <w:t> </w:t>
      </w:r>
      <w:r w:rsidRPr="003754B4">
        <w:t xml:space="preserve">through to </w:t>
      </w:r>
      <w:r w:rsidR="4D549301">
        <w:t>c</w:t>
      </w:r>
      <w:r>
        <w:t xml:space="preserve">ommunity </w:t>
      </w:r>
      <w:r w:rsidR="03C118FA">
        <w:t>p</w:t>
      </w:r>
      <w:r w:rsidRPr="003754B4">
        <w:t>rograms)</w:t>
      </w:r>
      <w:bookmarkEnd w:id="47"/>
    </w:p>
    <w:p w14:paraId="574B3BE4" w14:textId="1022C34B" w:rsidR="00E11077" w:rsidRPr="0093148C" w:rsidRDefault="00E11077" w:rsidP="003B0E86">
      <w:r w:rsidRPr="0093148C">
        <w:t>In a 2024 study, 2</w:t>
      </w:r>
      <w:r w:rsidR="00333BE7">
        <w:t>,</w:t>
      </w:r>
      <w:r w:rsidRPr="0093148C">
        <w:t>115 Australian adults were tested on their capacity to verify information on websites and social</w:t>
      </w:r>
      <w:r w:rsidR="009928E4">
        <w:t xml:space="preserve"> </w:t>
      </w:r>
      <w:r w:rsidRPr="0093148C">
        <w:t xml:space="preserve">media posts. Of those adults, 97% were classified as having </w:t>
      </w:r>
      <w:r w:rsidR="20D5E804">
        <w:t>‘</w:t>
      </w:r>
      <w:r>
        <w:t>poor</w:t>
      </w:r>
      <w:r w:rsidR="6EA33935">
        <w:t>’</w:t>
      </w:r>
      <w:r w:rsidRPr="0093148C">
        <w:t xml:space="preserve"> or </w:t>
      </w:r>
      <w:r w:rsidR="2F436AD0">
        <w:t>‘</w:t>
      </w:r>
      <w:r>
        <w:t>limited</w:t>
      </w:r>
      <w:r w:rsidR="4C1C8E60">
        <w:t>’</w:t>
      </w:r>
      <w:r w:rsidRPr="0093148C">
        <w:t xml:space="preserve"> ability to verify information online, and only 3% had an accuracy score of at least 50% across the four key information verification tasks used; yet many respondents overestimated their ability to verify information online </w:t>
      </w:r>
      <w:r w:rsidR="0098426B">
        <w:t>(</w:t>
      </w:r>
      <w:r w:rsidR="0098426B" w:rsidRPr="0093148C">
        <w:t>Park et al.</w:t>
      </w:r>
      <w:r w:rsidR="0098426B">
        <w:t xml:space="preserve"> </w:t>
      </w:r>
      <w:r w:rsidR="0098426B" w:rsidRPr="0093148C">
        <w:t>2024)</w:t>
      </w:r>
      <w:r w:rsidRPr="0093148C">
        <w:t xml:space="preserve">. </w:t>
      </w:r>
    </w:p>
    <w:p w14:paraId="18C22C59" w14:textId="79227B54" w:rsidR="00E11077" w:rsidRPr="0093148C" w:rsidRDefault="00E11077" w:rsidP="003B0E86">
      <w:r w:rsidRPr="0093148C">
        <w:t>These data highlight the critical need to build people’s competency to evaluate the quality and veracity of content they encounter. While most interventions detailed below target school students, some have been adapted for other populations, such as older adults. Indeed, it is important to conceptualise education interventions as a</w:t>
      </w:r>
      <w:r w:rsidR="00107E36">
        <w:t xml:space="preserve"> </w:t>
      </w:r>
      <w:r w:rsidRPr="0093148C">
        <w:t xml:space="preserve">continuum spanning the school curriculum and ongoing learning opportunities across the lifespan. </w:t>
      </w:r>
    </w:p>
    <w:p w14:paraId="2AE85638" w14:textId="10A9AB21" w:rsidR="00E11077" w:rsidRPr="0093148C" w:rsidRDefault="00E11077" w:rsidP="003B0E86">
      <w:r w:rsidRPr="0093148C">
        <w:t>At the school level, revising curricula to include evidence</w:t>
      </w:r>
      <w:r w:rsidR="007A7BB6">
        <w:noBreakHyphen/>
      </w:r>
      <w:r w:rsidRPr="0093148C">
        <w:t>based interventions that improve students’ capacity to self</w:t>
      </w:r>
      <w:r w:rsidR="007A7BB6">
        <w:noBreakHyphen/>
      </w:r>
      <w:r w:rsidRPr="0093148C">
        <w:t>regulate and assess the credibility of information will involve challenging long</w:t>
      </w:r>
      <w:r w:rsidR="007A7BB6">
        <w:noBreakHyphen/>
      </w:r>
      <w:r w:rsidRPr="0093148C">
        <w:t xml:space="preserve">held beliefs regarding the nature of </w:t>
      </w:r>
      <w:r w:rsidR="31F5B03B">
        <w:t>‘</w:t>
      </w:r>
      <w:r w:rsidRPr="0093148C">
        <w:t xml:space="preserve">critical </w:t>
      </w:r>
      <w:r>
        <w:t>thinking</w:t>
      </w:r>
      <w:r w:rsidR="4F3B51AE">
        <w:t>’</w:t>
      </w:r>
      <w:r>
        <w:t>.</w:t>
      </w:r>
      <w:r w:rsidRPr="0093148C">
        <w:t xml:space="preserve"> Moreover, sustained, active and targeted community engagement will be essential to achieve improved competencies in the population more broadly.</w:t>
      </w:r>
    </w:p>
    <w:p w14:paraId="2E4070F2" w14:textId="7E06B27E" w:rsidR="003754B4" w:rsidRDefault="00E11077" w:rsidP="007A7BB6">
      <w:pPr>
        <w:pStyle w:val="Heading3Numbered"/>
      </w:pPr>
      <w:bookmarkStart w:id="48" w:name="_Toc218511663"/>
      <w:r w:rsidRPr="003754B4">
        <w:t xml:space="preserve">Information literacy: </w:t>
      </w:r>
      <w:r w:rsidR="5A7372E0">
        <w:t>i</w:t>
      </w:r>
      <w:r w:rsidRPr="003754B4">
        <w:t xml:space="preserve">mproving </w:t>
      </w:r>
      <w:r w:rsidR="5B165362">
        <w:t>v</w:t>
      </w:r>
      <w:r w:rsidRPr="003754B4">
        <w:t>erification</w:t>
      </w:r>
      <w:bookmarkEnd w:id="48"/>
      <w:r w:rsidRPr="003754B4">
        <w:t xml:space="preserve"> </w:t>
      </w:r>
    </w:p>
    <w:p w14:paraId="7939BC24" w14:textId="24EC97B2" w:rsidR="00E11077" w:rsidRPr="006F3460" w:rsidRDefault="00E11077" w:rsidP="006F3460">
      <w:pPr>
        <w:pStyle w:val="Quote"/>
      </w:pPr>
      <w:r w:rsidRPr="006F3460">
        <w:t>Interventions that teach people to read across</w:t>
      </w:r>
      <w:r w:rsidR="006F3460">
        <w:t> </w:t>
      </w:r>
      <w:r w:rsidRPr="006F3460">
        <w:t>sources help them to identify the credibility</w:t>
      </w:r>
      <w:r w:rsidR="006F3460">
        <w:t> </w:t>
      </w:r>
      <w:r w:rsidRPr="006F3460">
        <w:t>of</w:t>
      </w:r>
      <w:r w:rsidR="006F3460">
        <w:t> </w:t>
      </w:r>
      <w:r w:rsidRPr="006F3460">
        <w:t>information</w:t>
      </w:r>
    </w:p>
    <w:p w14:paraId="46F572B8" w14:textId="0EB59228" w:rsidR="00E11077" w:rsidRPr="003754B4" w:rsidRDefault="00E11077" w:rsidP="007A7BB6">
      <w:pPr>
        <w:pStyle w:val="Heading4Numbered"/>
        <w:rPr>
          <w:bCs/>
        </w:rPr>
      </w:pPr>
      <w:r w:rsidRPr="0093148C">
        <w:t xml:space="preserve">Introduction to the </w:t>
      </w:r>
      <w:r w:rsidR="68689A01" w:rsidRPr="2292A6D5">
        <w:rPr>
          <w:bCs/>
        </w:rPr>
        <w:t>i</w:t>
      </w:r>
      <w:r w:rsidRPr="0093148C">
        <w:t xml:space="preserve">ssue and </w:t>
      </w:r>
      <w:r w:rsidR="31C7CBD6" w:rsidRPr="2292A6D5">
        <w:rPr>
          <w:bCs/>
        </w:rPr>
        <w:t>t</w:t>
      </w:r>
      <w:r w:rsidRPr="0093148C">
        <w:t xml:space="preserve">argeted </w:t>
      </w:r>
      <w:r w:rsidR="696ECCBA" w:rsidRPr="09DE1058">
        <w:rPr>
          <w:bCs/>
        </w:rPr>
        <w:t>m</w:t>
      </w:r>
      <w:r w:rsidRPr="0093148C">
        <w:t xml:space="preserve">echanisms </w:t>
      </w:r>
    </w:p>
    <w:p w14:paraId="0BA3FF7E" w14:textId="10261253" w:rsidR="00E11077" w:rsidRPr="00016AC2" w:rsidRDefault="00E11077" w:rsidP="755F09AC">
      <w:r w:rsidRPr="0093148C">
        <w:t xml:space="preserve">Australian school children are poorly equipped to deal with a limitless supply of information </w:t>
      </w:r>
      <w:r w:rsidR="0098426B">
        <w:t>(</w:t>
      </w:r>
      <w:r w:rsidR="0098426B" w:rsidRPr="0093148C">
        <w:t xml:space="preserve">Notley </w:t>
      </w:r>
      <w:r w:rsidR="0098426B">
        <w:t xml:space="preserve">et al. </w:t>
      </w:r>
      <w:r w:rsidR="0098426B" w:rsidRPr="0093148C">
        <w:t>2023)</w:t>
      </w:r>
      <w:r w:rsidRPr="0093148C">
        <w:t xml:space="preserve">. Effective </w:t>
      </w:r>
      <w:r w:rsidR="00AD265C">
        <w:t>information literacy</w:t>
      </w:r>
      <w:r w:rsidRPr="0093148C">
        <w:t xml:space="preserve"> methods such as </w:t>
      </w:r>
      <w:r w:rsidR="65623CBD" w:rsidRPr="0093148C">
        <w:t>‘</w:t>
      </w:r>
      <w:r w:rsidRPr="0093148C">
        <w:t>lateral reading</w:t>
      </w:r>
      <w:r w:rsidR="59FCE84F" w:rsidRPr="0093148C">
        <w:t>’</w:t>
      </w:r>
      <w:r w:rsidRPr="0093148C">
        <w:t>, created in North America, have yet to be embraced by</w:t>
      </w:r>
      <w:r w:rsidR="003754B4">
        <w:rPr>
          <w:b/>
        </w:rPr>
        <w:t xml:space="preserve"> </w:t>
      </w:r>
      <w:r w:rsidRPr="0093148C">
        <w:rPr>
          <w:spacing w:val="-1"/>
        </w:rPr>
        <w:t>Australian educators; this should change.</w:t>
      </w:r>
    </w:p>
    <w:p w14:paraId="7AB0B34D" w14:textId="6B70CB69" w:rsidR="00E11077" w:rsidRPr="009522B5" w:rsidRDefault="00AD265C" w:rsidP="4CB0353D">
      <w:r>
        <w:rPr>
          <w:rStyle w:val="Strong"/>
        </w:rPr>
        <w:t>Information literacy</w:t>
      </w:r>
      <w:r w:rsidR="00E11077" w:rsidRPr="0093148C">
        <w:rPr>
          <w:spacing w:val="-1"/>
        </w:rPr>
        <w:t xml:space="preserve"> refers to a person’s ability to identify situations in which more information is needed and their knowledge of methods to determine whether a claim is factual, or a source credible. Despite these being crucial skills in the contemporary information environment, a 2023 survey found that only 24% of Australian students aged 8</w:t>
      </w:r>
      <w:r w:rsidR="00E831FD">
        <w:t>–</w:t>
      </w:r>
      <w:r w:rsidR="00E11077" w:rsidRPr="0093148C">
        <w:rPr>
          <w:spacing w:val="-1"/>
        </w:rPr>
        <w:t>16</w:t>
      </w:r>
      <w:r w:rsidR="0098426B">
        <w:rPr>
          <w:spacing w:val="-1"/>
        </w:rPr>
        <w:t xml:space="preserve"> </w:t>
      </w:r>
      <w:r w:rsidR="00E11077" w:rsidRPr="0093148C">
        <w:rPr>
          <w:spacing w:val="-1"/>
        </w:rPr>
        <w:t xml:space="preserve">had received lessons in the past year to help them judge the credibility of news stories </w:t>
      </w:r>
      <w:r w:rsidR="0098426B">
        <w:rPr>
          <w:spacing w:val="-1"/>
        </w:rPr>
        <w:t>(</w:t>
      </w:r>
      <w:r w:rsidR="0098426B" w:rsidRPr="0093148C">
        <w:rPr>
          <w:spacing w:val="-1"/>
        </w:rPr>
        <w:t xml:space="preserve">Notley </w:t>
      </w:r>
      <w:r w:rsidR="0098426B">
        <w:rPr>
          <w:spacing w:val="-1"/>
        </w:rPr>
        <w:t xml:space="preserve">et al. </w:t>
      </w:r>
      <w:r w:rsidR="0098426B" w:rsidRPr="0093148C">
        <w:rPr>
          <w:spacing w:val="-1"/>
        </w:rPr>
        <w:t>2023)</w:t>
      </w:r>
      <w:r w:rsidR="00E11077" w:rsidRPr="0093148C">
        <w:rPr>
          <w:spacing w:val="-1"/>
        </w:rPr>
        <w:t xml:space="preserve">. Moreover, </w:t>
      </w:r>
      <w:r>
        <w:rPr>
          <w:spacing w:val="-1"/>
        </w:rPr>
        <w:t>information literacy</w:t>
      </w:r>
      <w:r w:rsidR="00E11077" w:rsidRPr="0093148C">
        <w:rPr>
          <w:spacing w:val="-1"/>
        </w:rPr>
        <w:t xml:space="preserve"> lessons on the school curriculum often focus on </w:t>
      </w:r>
      <w:r w:rsidR="5C1E6031">
        <w:t>‘</w:t>
      </w:r>
      <w:r w:rsidR="00E11077" w:rsidRPr="0093148C">
        <w:rPr>
          <w:spacing w:val="-1"/>
        </w:rPr>
        <w:t>deep</w:t>
      </w:r>
      <w:r w:rsidR="09C4090C" w:rsidRPr="0093148C">
        <w:rPr>
          <w:spacing w:val="-1"/>
        </w:rPr>
        <w:t>’</w:t>
      </w:r>
      <w:r w:rsidR="00E11077" w:rsidRPr="0093148C">
        <w:rPr>
          <w:spacing w:val="-1"/>
        </w:rPr>
        <w:t xml:space="preserve"> and critical methods that are likely ineffective in the online environment (McGrew </w:t>
      </w:r>
      <w:r w:rsidR="0098426B">
        <w:rPr>
          <w:spacing w:val="-1"/>
        </w:rPr>
        <w:t>and</w:t>
      </w:r>
      <w:r w:rsidR="00E11077" w:rsidRPr="0093148C">
        <w:rPr>
          <w:spacing w:val="-1"/>
        </w:rPr>
        <w:t xml:space="preserve"> Breakstone 2023). </w:t>
      </w:r>
    </w:p>
    <w:p w14:paraId="36F3B52D" w14:textId="4D5148FB" w:rsidR="00E11077" w:rsidRPr="00016AC2" w:rsidRDefault="00E11077" w:rsidP="00425B1D">
      <w:pPr>
        <w:rPr>
          <w:bCs/>
        </w:rPr>
      </w:pPr>
      <w:r w:rsidRPr="0093148C">
        <w:rPr>
          <w:spacing w:val="-1"/>
        </w:rPr>
        <w:t xml:space="preserve">For </w:t>
      </w:r>
      <w:r w:rsidR="00AD265C">
        <w:rPr>
          <w:spacing w:val="-1"/>
        </w:rPr>
        <w:t>information literacy</w:t>
      </w:r>
      <w:r w:rsidRPr="0093148C">
        <w:rPr>
          <w:spacing w:val="-1"/>
        </w:rPr>
        <w:t xml:space="preserve"> education to be effective, a greater emphasis on </w:t>
      </w:r>
      <w:r w:rsidRPr="00224B7E">
        <w:rPr>
          <w:rStyle w:val="Strong"/>
        </w:rPr>
        <w:t>information</w:t>
      </w:r>
      <w:r w:rsidR="007A7BB6" w:rsidRPr="00224B7E">
        <w:rPr>
          <w:rStyle w:val="Strong"/>
        </w:rPr>
        <w:noBreakHyphen/>
      </w:r>
      <w:r w:rsidRPr="00224B7E">
        <w:rPr>
          <w:rStyle w:val="Strong"/>
        </w:rPr>
        <w:t xml:space="preserve">credibility evaluation </w:t>
      </w:r>
      <w:r w:rsidRPr="0093148C">
        <w:rPr>
          <w:spacing w:val="-1"/>
        </w:rPr>
        <w:t>is needed: lateral reading thus entails departing from one source or claim and cross</w:t>
      </w:r>
      <w:r w:rsidR="007A7BB6">
        <w:rPr>
          <w:spacing w:val="-1"/>
        </w:rPr>
        <w:noBreakHyphen/>
      </w:r>
      <w:r w:rsidRPr="0093148C">
        <w:rPr>
          <w:spacing w:val="-1"/>
        </w:rPr>
        <w:t xml:space="preserve">checking information using other sources assessed as reliable. Lateral reading is part of the Civic Online Reasoning (COR) framework, developed by the Stanford History Education Group. COR recognises the importance of the </w:t>
      </w:r>
      <w:r w:rsidR="00C41632">
        <w:rPr>
          <w:spacing w:val="-1"/>
        </w:rPr>
        <w:t>i</w:t>
      </w:r>
      <w:r w:rsidRPr="0093148C">
        <w:rPr>
          <w:spacing w:val="-1"/>
        </w:rPr>
        <w:t xml:space="preserve">nternet as a source of social and political information and refers to the ability to effectively search for and evaluate information online: what matters is not what students know, but the steps taken to verify claims. The term </w:t>
      </w:r>
      <w:r w:rsidR="7B1D0D93" w:rsidRPr="0093148C">
        <w:rPr>
          <w:spacing w:val="-1"/>
        </w:rPr>
        <w:t>‘</w:t>
      </w:r>
      <w:r w:rsidRPr="0093148C">
        <w:rPr>
          <w:spacing w:val="-1"/>
        </w:rPr>
        <w:t>civic</w:t>
      </w:r>
      <w:r w:rsidR="7BA208AD" w:rsidRPr="0093148C">
        <w:rPr>
          <w:spacing w:val="-1"/>
        </w:rPr>
        <w:t>’</w:t>
      </w:r>
      <w:r w:rsidRPr="0093148C">
        <w:rPr>
          <w:spacing w:val="-1"/>
        </w:rPr>
        <w:t xml:space="preserve"> in COR is meant to emphasise the key role that finding credible information plays in democratic decision</w:t>
      </w:r>
      <w:r w:rsidR="007A7BB6">
        <w:rPr>
          <w:spacing w:val="-1"/>
        </w:rPr>
        <w:noBreakHyphen/>
      </w:r>
      <w:r w:rsidRPr="0093148C">
        <w:rPr>
          <w:spacing w:val="-1"/>
        </w:rPr>
        <w:t xml:space="preserve">making </w:t>
      </w:r>
      <w:r w:rsidR="0098426B">
        <w:rPr>
          <w:spacing w:val="-1"/>
        </w:rPr>
        <w:t>(</w:t>
      </w:r>
      <w:r w:rsidR="0098426B" w:rsidRPr="0093148C">
        <w:rPr>
          <w:spacing w:val="-1"/>
        </w:rPr>
        <w:t xml:space="preserve">Wineburg </w:t>
      </w:r>
      <w:r w:rsidR="0098426B">
        <w:rPr>
          <w:spacing w:val="-1"/>
        </w:rPr>
        <w:t>and</w:t>
      </w:r>
      <w:r w:rsidR="0098426B" w:rsidRPr="0093148C">
        <w:rPr>
          <w:spacing w:val="-1"/>
        </w:rPr>
        <w:t xml:space="preserve"> McGrew</w:t>
      </w:r>
      <w:r w:rsidR="0098426B">
        <w:rPr>
          <w:spacing w:val="-1"/>
        </w:rPr>
        <w:t xml:space="preserve"> </w:t>
      </w:r>
      <w:r w:rsidR="0098426B" w:rsidRPr="0093148C">
        <w:rPr>
          <w:spacing w:val="-1"/>
        </w:rPr>
        <w:t>2019)</w:t>
      </w:r>
      <w:r w:rsidRPr="0093148C">
        <w:rPr>
          <w:spacing w:val="-1"/>
        </w:rPr>
        <w:t>.</w:t>
      </w:r>
    </w:p>
    <w:p w14:paraId="0E8A41C7" w14:textId="79996F15" w:rsidR="00E11077" w:rsidRPr="0093148C" w:rsidRDefault="00E11077" w:rsidP="007A7BB6">
      <w:pPr>
        <w:pStyle w:val="Heading4Numbered"/>
        <w:rPr>
          <w:bCs/>
        </w:rPr>
      </w:pPr>
      <w:r w:rsidRPr="0093148C">
        <w:t>Interventions</w:t>
      </w:r>
    </w:p>
    <w:p w14:paraId="59D14AB3" w14:textId="6D9FDE8B" w:rsidR="00E11077" w:rsidRPr="00016AC2" w:rsidRDefault="00E11077" w:rsidP="1E2670C7">
      <w:r w:rsidRPr="0093148C">
        <w:t>School interventions typically involve embedding lateral</w:t>
      </w:r>
      <w:r w:rsidR="007A7BB6">
        <w:noBreakHyphen/>
      </w:r>
      <w:r w:rsidRPr="0093148C">
        <w:t xml:space="preserve">reading techniques into subjects (e.g., Geography or Biology). This intervention teaches people to investigate who is behind a piece of information, to evaluate the evidence for a claim, and to compare information across sources. Teachers </w:t>
      </w:r>
      <w:r w:rsidR="01AC0EF6">
        <w:t>‘</w:t>
      </w:r>
      <w:r>
        <w:t>model</w:t>
      </w:r>
      <w:r w:rsidR="4E300D38">
        <w:t>’</w:t>
      </w:r>
      <w:r w:rsidRPr="0093148C">
        <w:t xml:space="preserve"> or demonstrate the different ways in which information can be verified, both </w:t>
      </w:r>
      <w:r w:rsidR="3814E1B9">
        <w:t>‘</w:t>
      </w:r>
      <w:r>
        <w:t>vertically</w:t>
      </w:r>
      <w:r w:rsidR="57783351">
        <w:t>’</w:t>
      </w:r>
      <w:r w:rsidRPr="0093148C">
        <w:t xml:space="preserve"> (searching within a source) and </w:t>
      </w:r>
      <w:r w:rsidR="10388E25">
        <w:t>‘</w:t>
      </w:r>
      <w:r>
        <w:t>laterally</w:t>
      </w:r>
      <w:r w:rsidR="755831F5">
        <w:t>’</w:t>
      </w:r>
      <w:r w:rsidRPr="0093148C">
        <w:t xml:space="preserve"> (searching across sources), and students then practice techniques themselves. This </w:t>
      </w:r>
      <w:r w:rsidR="4F804B95">
        <w:t>‘</w:t>
      </w:r>
      <w:r w:rsidRPr="0093148C">
        <w:t xml:space="preserve">cognitive </w:t>
      </w:r>
      <w:r>
        <w:t>apprenticeship</w:t>
      </w:r>
      <w:r w:rsidR="38B0835A">
        <w:t>’</w:t>
      </w:r>
      <w:r w:rsidRPr="0093148C">
        <w:t xml:space="preserve"> is an important part of the </w:t>
      </w:r>
      <w:r w:rsidR="00AD265C">
        <w:t>lateral reading</w:t>
      </w:r>
      <w:r w:rsidRPr="0093148C">
        <w:t xml:space="preserve"> pedagogy (Axelsson </w:t>
      </w:r>
      <w:r w:rsidR="0098426B">
        <w:t>and</w:t>
      </w:r>
      <w:r w:rsidRPr="0093148C">
        <w:t xml:space="preserve"> Nygren 2024; Nygren et al. 2021). </w:t>
      </w:r>
    </w:p>
    <w:p w14:paraId="3E7A622E" w14:textId="49642F2A" w:rsidR="00E11077" w:rsidRPr="00016AC2" w:rsidRDefault="00E11077" w:rsidP="00425B1D">
      <w:pPr>
        <w:rPr>
          <w:bCs/>
        </w:rPr>
      </w:pPr>
      <w:r w:rsidRPr="0093148C">
        <w:t xml:space="preserve">Research studies typically ask students to evaluate the credibility of websites, online claims and photographic evidence both before and after the intervention (Breakstone </w:t>
      </w:r>
      <w:r w:rsidR="0098426B">
        <w:t>and</w:t>
      </w:r>
      <w:r w:rsidRPr="0093148C">
        <w:t xml:space="preserve"> McGrew 2022). Programs such as </w:t>
      </w:r>
      <w:proofErr w:type="spellStart"/>
      <w:r w:rsidRPr="0093148C">
        <w:rPr>
          <w:i/>
        </w:rPr>
        <w:t>MediaWise</w:t>
      </w:r>
      <w:proofErr w:type="spellEnd"/>
      <w:r w:rsidRPr="0093148C">
        <w:rPr>
          <w:i/>
        </w:rPr>
        <w:t xml:space="preserve"> for Seniors </w:t>
      </w:r>
      <w:r w:rsidRPr="0093148C">
        <w:t>in the U</w:t>
      </w:r>
      <w:r w:rsidR="00EF2603">
        <w:t>.</w:t>
      </w:r>
      <w:r w:rsidRPr="0093148C">
        <w:t>S</w:t>
      </w:r>
      <w:r w:rsidR="00EF2603">
        <w:t>.</w:t>
      </w:r>
      <w:r w:rsidRPr="0093148C">
        <w:t xml:space="preserve"> have also applied this approach outside the school context. When participants learned about lateral reading, reverse image searching and trust indicators, their ability to discern true from fake news improved (Moore </w:t>
      </w:r>
      <w:r w:rsidR="0098426B">
        <w:t>and</w:t>
      </w:r>
      <w:r w:rsidRPr="0093148C">
        <w:t xml:space="preserve"> Hancock 2022). Video tutorials are an efficient delivery format for such programs for both adolescents and adults </w:t>
      </w:r>
      <w:r w:rsidR="0098426B">
        <w:t>(</w:t>
      </w:r>
      <w:r w:rsidR="0098426B" w:rsidRPr="0093148C">
        <w:t>Axelsson et al.</w:t>
      </w:r>
      <w:r w:rsidR="0098426B">
        <w:t xml:space="preserve"> </w:t>
      </w:r>
      <w:r w:rsidR="0098426B" w:rsidRPr="0093148C">
        <w:t>2021)</w:t>
      </w:r>
      <w:r w:rsidRPr="0093148C">
        <w:t>.</w:t>
      </w:r>
    </w:p>
    <w:p w14:paraId="42827D1F" w14:textId="3580958F" w:rsidR="006B40B8" w:rsidRDefault="00E11077" w:rsidP="007A7BB6">
      <w:pPr>
        <w:pStyle w:val="Heading4Numbered"/>
      </w:pPr>
      <w:r w:rsidRPr="0093148C">
        <w:t xml:space="preserve">Strength of </w:t>
      </w:r>
      <w:r w:rsidR="00964FFD">
        <w:t>e</w:t>
      </w:r>
      <w:r w:rsidRPr="0093148C">
        <w:t xml:space="preserve">vidence and </w:t>
      </w:r>
      <w:r w:rsidR="006B40B8">
        <w:t>l</w:t>
      </w:r>
      <w:r w:rsidRPr="0093148C">
        <w:t xml:space="preserve">imitations </w:t>
      </w:r>
    </w:p>
    <w:p w14:paraId="0F4F5349" w14:textId="34B734FC" w:rsidR="00E11077" w:rsidRPr="0093148C" w:rsidRDefault="00E11077" w:rsidP="0602D828">
      <w:pPr>
        <w:rPr>
          <w:b/>
          <w:bCs/>
        </w:rPr>
      </w:pPr>
      <w:r>
        <w:t xml:space="preserve">Building </w:t>
      </w:r>
      <w:r w:rsidR="00AD265C">
        <w:t>information literacy</w:t>
      </w:r>
      <w:r>
        <w:t xml:space="preserve"> boosts the capacity to determine the credibility of many types of information, from online and offline news to scientific evidence and social</w:t>
      </w:r>
      <w:r w:rsidR="009928E4">
        <w:t xml:space="preserve"> </w:t>
      </w:r>
      <w:r>
        <w:t>media posts. A growing body of work, initially from Stanford but now also from other research centres, has demonstrated strong evidence of short</w:t>
      </w:r>
      <w:r w:rsidR="007A7BB6">
        <w:noBreakHyphen/>
      </w:r>
      <w:r>
        <w:t>term benefits as well as some evidence for longer</w:t>
      </w:r>
      <w:r w:rsidR="007A7BB6">
        <w:noBreakHyphen/>
      </w:r>
      <w:r>
        <w:t xml:space="preserve">term impact of </w:t>
      </w:r>
      <w:r w:rsidR="00AD265C">
        <w:t>lateral reading</w:t>
      </w:r>
      <w:r>
        <w:t xml:space="preserve"> interventions (Brodsky et al. 2021; McGrew et al. 2019; McGrew </w:t>
      </w:r>
      <w:r w:rsidR="0098426B">
        <w:t>and</w:t>
      </w:r>
      <w:r>
        <w:t xml:space="preserve"> Breakstone 2023; Wineburg et al. 2022; Weisberg et al. 2022). </w:t>
      </w:r>
    </w:p>
    <w:p w14:paraId="78154896" w14:textId="79332E67" w:rsidR="00E11077" w:rsidRPr="0093148C" w:rsidRDefault="00E11077" w:rsidP="0602D828">
      <w:pPr>
        <w:rPr>
          <w:b/>
        </w:rPr>
      </w:pPr>
      <w:r>
        <w:t>Further, intervention studies in education settings have demonstrated impact beyond the laboratory. Jones</w:t>
      </w:r>
      <w:r w:rsidR="007A7BB6">
        <w:noBreakHyphen/>
      </w:r>
      <w:r>
        <w:t xml:space="preserve">Jang </w:t>
      </w:r>
      <w:r w:rsidR="00304916">
        <w:t>et al.</w:t>
      </w:r>
      <w:r>
        <w:t xml:space="preserve"> (2021) showed that </w:t>
      </w:r>
      <w:r w:rsidR="00AD265C">
        <w:t>information literacy</w:t>
      </w:r>
      <w:r>
        <w:t xml:space="preserve"> was positively associated with fake</w:t>
      </w:r>
      <w:r w:rsidR="007A7BB6">
        <w:noBreakHyphen/>
      </w:r>
      <w:r>
        <w:t xml:space="preserve">news identification. However verification studies published in or before 2022 focused only on text verification; other formats, such as images and videos, have seldom been examined (Yu </w:t>
      </w:r>
      <w:r w:rsidR="00075C66">
        <w:t>and</w:t>
      </w:r>
      <w:r>
        <w:t xml:space="preserve"> Shen 2024). One challenge is that verification can be more difficult when consuming entertaining video content (Wineburg </w:t>
      </w:r>
      <w:r w:rsidR="0098426B">
        <w:t>and</w:t>
      </w:r>
      <w:r>
        <w:t xml:space="preserve"> McGrew 2019).</w:t>
      </w:r>
    </w:p>
    <w:p w14:paraId="638EA670" w14:textId="6D794DA1" w:rsidR="00C00CEB" w:rsidRPr="0093148C" w:rsidRDefault="00E11077" w:rsidP="00425B1D">
      <w:pPr>
        <w:rPr>
          <w:b/>
          <w:spacing w:val="-1"/>
        </w:rPr>
      </w:pPr>
      <w:r w:rsidRPr="0093148C">
        <w:t>Skills</w:t>
      </w:r>
      <w:r w:rsidR="007A7BB6">
        <w:noBreakHyphen/>
      </w:r>
      <w:r w:rsidRPr="0093148C">
        <w:t xml:space="preserve">based information literacy instruction, though highly effective, must be paired with teaching of foundational knowledge about the information and media environment (Weisberg </w:t>
      </w:r>
      <w:r w:rsidR="00304916">
        <w:t>et al.</w:t>
      </w:r>
      <w:r w:rsidRPr="0093148C">
        <w:t xml:space="preserve"> 2022) and teaching of </w:t>
      </w:r>
      <w:r w:rsidR="00AD265C">
        <w:t>critical thinking</w:t>
      </w:r>
      <w:r w:rsidRPr="0093148C">
        <w:t xml:space="preserve"> skills</w:t>
      </w:r>
      <w:r w:rsidR="00DD10DC">
        <w:t>,</w:t>
      </w:r>
      <w:r w:rsidRPr="0093148C">
        <w:t xml:space="preserve"> topic</w:t>
      </w:r>
      <w:r w:rsidR="007A7BB6">
        <w:noBreakHyphen/>
      </w:r>
      <w:r w:rsidRPr="0093148C">
        <w:t xml:space="preserve">specific knowledge, and in particular science education (Osborne </w:t>
      </w:r>
      <w:r w:rsidR="0098426B">
        <w:t>and</w:t>
      </w:r>
      <w:r w:rsidRPr="0093148C">
        <w:t xml:space="preserve"> Pimentel 2022). These are now discussed in turn.</w:t>
      </w:r>
    </w:p>
    <w:p w14:paraId="729411F1" w14:textId="6E4EFCAE" w:rsidR="003754B4" w:rsidRPr="00592485" w:rsidRDefault="00E11077" w:rsidP="007A7BB6">
      <w:pPr>
        <w:pStyle w:val="Heading3Numbered"/>
      </w:pPr>
      <w:bookmarkStart w:id="49" w:name="_Toc218511664"/>
      <w:r>
        <w:t xml:space="preserve">Media and </w:t>
      </w:r>
      <w:r w:rsidR="511F9AA1">
        <w:t>d</w:t>
      </w:r>
      <w:r>
        <w:t xml:space="preserve">igital </w:t>
      </w:r>
      <w:r w:rsidR="4B968125">
        <w:t>l</w:t>
      </w:r>
      <w:r>
        <w:t xml:space="preserve">iteracy: </w:t>
      </w:r>
      <w:r w:rsidR="4F38FAA8">
        <w:t>i</w:t>
      </w:r>
      <w:r>
        <w:t xml:space="preserve">mproving </w:t>
      </w:r>
      <w:r w:rsidR="0413739E">
        <w:t>u</w:t>
      </w:r>
      <w:r>
        <w:t>nderstanding</w:t>
      </w:r>
      <w:bookmarkEnd w:id="49"/>
    </w:p>
    <w:p w14:paraId="35814309" w14:textId="77777777" w:rsidR="00E11077" w:rsidRPr="00333BE7" w:rsidRDefault="00E11077" w:rsidP="00333BE7">
      <w:pPr>
        <w:pStyle w:val="Quote"/>
        <w:rPr>
          <w:rStyle w:val="IntenseEmphasis"/>
          <w:i w:val="0"/>
          <w:iCs/>
        </w:rPr>
      </w:pPr>
      <w:r w:rsidRPr="00333BE7">
        <w:rPr>
          <w:rStyle w:val="IntenseEmphasis"/>
          <w:i w:val="0"/>
          <w:iCs/>
        </w:rPr>
        <w:t>Interventions that increase understanding of the media landscape and help people to gain contemporary digital skills can improve detection of misinformation</w:t>
      </w:r>
    </w:p>
    <w:p w14:paraId="2C8C3267" w14:textId="3B83FC54" w:rsidR="00E11077" w:rsidRPr="0093148C" w:rsidRDefault="00E11077" w:rsidP="007A7BB6">
      <w:pPr>
        <w:pStyle w:val="Heading4Numbered"/>
      </w:pPr>
      <w:r w:rsidRPr="171C3D43">
        <w:t xml:space="preserve">Introduction to the </w:t>
      </w:r>
      <w:r w:rsidR="2E6B855D" w:rsidRPr="171C3D43">
        <w:t>i</w:t>
      </w:r>
      <w:r w:rsidRPr="171C3D43">
        <w:t xml:space="preserve">ssue and </w:t>
      </w:r>
      <w:r w:rsidR="23F86C8E" w:rsidRPr="171C3D43">
        <w:t>t</w:t>
      </w:r>
      <w:r w:rsidRPr="171C3D43">
        <w:t xml:space="preserve">argeted </w:t>
      </w:r>
      <w:r w:rsidR="1DA2EFAE" w:rsidRPr="2D800A78">
        <w:t>m</w:t>
      </w:r>
      <w:r w:rsidRPr="2D800A78">
        <w:t xml:space="preserve">echanisms </w:t>
      </w:r>
    </w:p>
    <w:p w14:paraId="4A57396A" w14:textId="436304FC" w:rsidR="00E11077" w:rsidRPr="0093148C" w:rsidRDefault="00E11077" w:rsidP="2BDC2DE3">
      <w:pPr>
        <w:rPr>
          <w:b/>
          <w:bCs/>
        </w:rPr>
      </w:pPr>
      <w:r w:rsidRPr="003C34CF">
        <w:t>Media literacy</w:t>
      </w:r>
      <w:r>
        <w:t xml:space="preserve"> includes competencies in using media technologies as well as analysing media contexts and representations, and developing a high</w:t>
      </w:r>
      <w:r w:rsidR="007A7BB6">
        <w:noBreakHyphen/>
      </w:r>
      <w:r>
        <w:t xml:space="preserve">level understanding of the media landscape </w:t>
      </w:r>
      <w:r w:rsidR="0098426B">
        <w:t>(see Corser et al. 2022)</w:t>
      </w:r>
      <w:r>
        <w:t xml:space="preserve">. </w:t>
      </w:r>
    </w:p>
    <w:p w14:paraId="3AF58D1B" w14:textId="5399E7FA" w:rsidR="00E11077" w:rsidRPr="0093148C" w:rsidRDefault="00E11077" w:rsidP="171C3D43">
      <w:pPr>
        <w:rPr>
          <w:b/>
          <w:bCs/>
        </w:rPr>
      </w:pPr>
      <w:r w:rsidRPr="003C34CF">
        <w:t>Digital literacy</w:t>
      </w:r>
      <w:r>
        <w:t xml:space="preserve"> includes competencies in using digital technology and engaging effectively with digital content. As the digital media landscape evolves, so too will literacy requirements, including the capacity to understand how algorithms impact the information environment, how people’s own behaviour informs algorithms, and implications for personal privacy </w:t>
      </w:r>
      <w:r w:rsidR="00051F06">
        <w:t xml:space="preserve">(Hobbs 2020; Kozyreva et al. 2020; </w:t>
      </w:r>
      <w:r w:rsidR="00051F06" w:rsidRPr="00704D20">
        <w:t>Lewandowsky et al. 2024</w:t>
      </w:r>
      <w:r w:rsidR="00704D20" w:rsidRPr="00704D20">
        <w:t>a</w:t>
      </w:r>
      <w:r w:rsidR="00051F06" w:rsidRPr="00704D20">
        <w:t>)</w:t>
      </w:r>
      <w:r w:rsidRPr="00704D20">
        <w:t>.</w:t>
      </w:r>
    </w:p>
    <w:p w14:paraId="6A295D77" w14:textId="05235C3F" w:rsidR="00E11077" w:rsidRPr="0093148C" w:rsidRDefault="00E11077" w:rsidP="007A7BB6">
      <w:pPr>
        <w:pStyle w:val="Heading4Numbered"/>
      </w:pPr>
      <w:r w:rsidRPr="2BDC2DE3">
        <w:t xml:space="preserve">Interventions </w:t>
      </w:r>
    </w:p>
    <w:p w14:paraId="7F1A884B" w14:textId="71A995AD" w:rsidR="00E11077" w:rsidRPr="0093148C" w:rsidRDefault="00E11077" w:rsidP="00425B1D">
      <w:r w:rsidRPr="0093148C">
        <w:t>The interventions targeting media literacy in schools include a focus on building foundational understanding of journalism and media production. These interventions also examine the role of information</w:t>
      </w:r>
      <w:r w:rsidR="007A7BB6">
        <w:noBreakHyphen/>
      </w:r>
      <w:r w:rsidRPr="0093148C">
        <w:t>seeking motives and support news</w:t>
      </w:r>
      <w:r w:rsidR="007A7BB6">
        <w:noBreakHyphen/>
      </w:r>
      <w:r w:rsidRPr="0093148C">
        <w:t xml:space="preserve">analysis skills (Martens </w:t>
      </w:r>
      <w:r w:rsidR="0041588F">
        <w:t>and</w:t>
      </w:r>
      <w:r w:rsidRPr="0093148C">
        <w:t xml:space="preserve"> Hobbs 2015). In Australia the focus lies on the ability to critically examine </w:t>
      </w:r>
      <w:r w:rsidR="0FD31BB0">
        <w:t>‘</w:t>
      </w:r>
      <w:r w:rsidRPr="0093148C">
        <w:t>key concepts</w:t>
      </w:r>
      <w:r w:rsidR="1D2743C2">
        <w:t>’</w:t>
      </w:r>
      <w:r w:rsidRPr="0093148C">
        <w:t xml:space="preserve"> such as</w:t>
      </w:r>
      <w:r w:rsidR="07301298">
        <w:t>:</w:t>
      </w:r>
      <w:r w:rsidRPr="0093148C">
        <w:t xml:space="preserve"> </w:t>
      </w:r>
    </w:p>
    <w:p w14:paraId="66A36B40" w14:textId="675ECFE1" w:rsidR="00E11077" w:rsidRPr="00333BE7" w:rsidRDefault="00E11077" w:rsidP="00333BE7">
      <w:pPr>
        <w:pStyle w:val="ListParagraph"/>
      </w:pPr>
      <w:r w:rsidRPr="0093148C">
        <w:t xml:space="preserve">media </w:t>
      </w:r>
      <w:r w:rsidRPr="00333BE7">
        <w:t xml:space="preserve">language </w:t>
      </w:r>
    </w:p>
    <w:p w14:paraId="663EB825" w14:textId="21685E2D" w:rsidR="00E11077" w:rsidRPr="00333BE7" w:rsidRDefault="00E11077" w:rsidP="00333BE7">
      <w:pPr>
        <w:pStyle w:val="ListParagraph"/>
      </w:pPr>
      <w:r w:rsidRPr="00333BE7">
        <w:t xml:space="preserve">institutions creating media </w:t>
      </w:r>
    </w:p>
    <w:p w14:paraId="0BAD7AC7" w14:textId="06A4FE33" w:rsidR="00E11077" w:rsidRPr="00333BE7" w:rsidRDefault="00E11077" w:rsidP="00333BE7">
      <w:pPr>
        <w:pStyle w:val="ListParagraph"/>
      </w:pPr>
      <w:r w:rsidRPr="00333BE7">
        <w:t xml:space="preserve">representations of people </w:t>
      </w:r>
    </w:p>
    <w:p w14:paraId="65C92C3E" w14:textId="25563DE8" w:rsidR="00E11077" w:rsidRPr="0093148C" w:rsidRDefault="00E11077" w:rsidP="00333BE7">
      <w:pPr>
        <w:pStyle w:val="ListParagraph"/>
      </w:pPr>
      <w:r w:rsidRPr="00333BE7">
        <w:t>intended audience</w:t>
      </w:r>
      <w:r w:rsidRPr="0093148C">
        <w:t>.</w:t>
      </w:r>
      <w:r w:rsidR="00424334">
        <w:rPr>
          <w:rStyle w:val="FootnoteReference"/>
        </w:rPr>
        <w:footnoteReference w:id="3"/>
      </w:r>
      <w:r w:rsidRPr="0093148C">
        <w:t xml:space="preserve"> </w:t>
      </w:r>
    </w:p>
    <w:p w14:paraId="793320AB" w14:textId="516A58AB" w:rsidR="00E11077" w:rsidRPr="0093148C" w:rsidRDefault="00E11077" w:rsidP="7BA88CB7">
      <w:r w:rsidRPr="0093148C">
        <w:t>Key outcome variables</w:t>
      </w:r>
      <w:r w:rsidR="00425B1D">
        <w:t xml:space="preserve"> </w:t>
      </w:r>
      <w:r w:rsidRPr="0093148C">
        <w:t>of interest are news</w:t>
      </w:r>
      <w:r w:rsidR="007A7BB6">
        <w:noBreakHyphen/>
      </w:r>
      <w:r w:rsidRPr="0093148C">
        <w:t xml:space="preserve">analysis and discernment skills, knowledge of the media landscape and sharing behaviours </w:t>
      </w:r>
      <w:r w:rsidR="0041588F">
        <w:t>(</w:t>
      </w:r>
      <w:r w:rsidR="0041588F" w:rsidRPr="0093148C">
        <w:t>e.g., see Murrock et al.</w:t>
      </w:r>
      <w:r w:rsidR="0041588F">
        <w:t xml:space="preserve"> </w:t>
      </w:r>
      <w:r w:rsidR="0041588F" w:rsidRPr="0093148C">
        <w:t>2018)</w:t>
      </w:r>
      <w:r w:rsidRPr="0093148C">
        <w:t>.</w:t>
      </w:r>
    </w:p>
    <w:p w14:paraId="5225F629" w14:textId="7AFF18E6" w:rsidR="00E11077" w:rsidRPr="007A7BB6" w:rsidRDefault="007A7BB6" w:rsidP="007A7BB6">
      <w:pPr>
        <w:pStyle w:val="Heading4Numbered"/>
      </w:pPr>
      <w:r w:rsidRPr="007A7BB6">
        <w:t xml:space="preserve">Strength of evidence and limitations </w:t>
      </w:r>
    </w:p>
    <w:p w14:paraId="3979347C" w14:textId="6021FCD4" w:rsidR="00E11077" w:rsidRPr="00887C6D" w:rsidRDefault="00AD265C" w:rsidP="7BA88CB7">
      <w:r>
        <w:t>Media literacy</w:t>
      </w:r>
      <w:r w:rsidR="00E11077" w:rsidRPr="0093148C">
        <w:t xml:space="preserve"> instruction in schools can have broad impact, for example increasing engaged citizenship and equity </w:t>
      </w:r>
      <w:r w:rsidR="0041588F">
        <w:t>(</w:t>
      </w:r>
      <w:r w:rsidR="0041588F" w:rsidRPr="0093148C">
        <w:t>Burth et al.</w:t>
      </w:r>
      <w:r w:rsidR="0041588F">
        <w:t xml:space="preserve"> </w:t>
      </w:r>
      <w:r w:rsidR="0041588F" w:rsidRPr="0093148C">
        <w:t>2024;</w:t>
      </w:r>
      <w:r w:rsidR="00E11077" w:rsidRPr="0093148C">
        <w:t xml:space="preserve"> Hobbs et al. 2013). Simply promoting news consumption can enhance media trust and support fake</w:t>
      </w:r>
      <w:r w:rsidR="007A7BB6">
        <w:noBreakHyphen/>
      </w:r>
      <w:r w:rsidR="00E11077" w:rsidRPr="0093148C">
        <w:t xml:space="preserve">news identification </w:t>
      </w:r>
      <w:r w:rsidR="0041588F">
        <w:t>(</w:t>
      </w:r>
      <w:r w:rsidR="0041588F" w:rsidRPr="0093148C">
        <w:t>Altay et al.</w:t>
      </w:r>
      <w:r w:rsidR="0041588F">
        <w:t xml:space="preserve"> </w:t>
      </w:r>
      <w:r w:rsidR="0041588F" w:rsidRPr="0093148C">
        <w:t>2024)</w:t>
      </w:r>
      <w:r w:rsidR="00E11077" w:rsidRPr="0093148C">
        <w:t xml:space="preserve">. Interventions that support broader digital media competencies and engagement can also lead to higher discernment </w:t>
      </w:r>
      <w:r w:rsidR="0041588F">
        <w:t>(</w:t>
      </w:r>
      <w:r w:rsidR="0041588F" w:rsidRPr="0093148C">
        <w:t>Lu et al.</w:t>
      </w:r>
      <w:r w:rsidR="0041588F">
        <w:t xml:space="preserve"> </w:t>
      </w:r>
      <w:r w:rsidR="0041588F" w:rsidRPr="0093148C">
        <w:t>2024)</w:t>
      </w:r>
      <w:r w:rsidR="00E11077" w:rsidRPr="0093148C">
        <w:t xml:space="preserve"> and engagement with tools that support detection of misleading content </w:t>
      </w:r>
      <w:r w:rsidR="0041588F">
        <w:t>(</w:t>
      </w:r>
      <w:r w:rsidR="0041588F" w:rsidRPr="0093148C">
        <w:t>e.g., reverse image search; Nygren et al.</w:t>
      </w:r>
      <w:r w:rsidR="0041588F">
        <w:t xml:space="preserve"> </w:t>
      </w:r>
      <w:r w:rsidR="0041588F" w:rsidRPr="0093148C">
        <w:t>2021)</w:t>
      </w:r>
      <w:r w:rsidR="00E11077" w:rsidRPr="0093148C">
        <w:t>. Locally, there have been a number of initiatives, mainly connected with the Australian Media Literacy Alliance (AMLA</w:t>
      </w:r>
      <w:r w:rsidR="00424334">
        <w:rPr>
          <w:rStyle w:val="FootnoteReference"/>
        </w:rPr>
        <w:footnoteReference w:id="4"/>
      </w:r>
      <w:r w:rsidR="00E11077" w:rsidRPr="0093148C">
        <w:t>).</w:t>
      </w:r>
    </w:p>
    <w:p w14:paraId="6E43278F" w14:textId="341E10DB" w:rsidR="00E11077" w:rsidRPr="0093148C" w:rsidRDefault="00E11077" w:rsidP="00425B1D">
      <w:r>
        <w:t xml:space="preserve">A 2024 systematic review found that people who had undergone </w:t>
      </w:r>
      <w:r w:rsidR="00AD265C">
        <w:t>media literacy</w:t>
      </w:r>
      <w:r>
        <w:t xml:space="preserve"> training were more likely to verify information before sharing on social media (Yu </w:t>
      </w:r>
      <w:r w:rsidR="0041588F">
        <w:t>and</w:t>
      </w:r>
      <w:r>
        <w:t xml:space="preserve"> Shen 2024). A report for the UK’s Communication regulator Ofcom (Edwards </w:t>
      </w:r>
      <w:r w:rsidR="00304916">
        <w:t>et al.</w:t>
      </w:r>
      <w:r>
        <w:t xml:space="preserve"> 2021) found that increasing media knowledge and critical thinking augments people’s ability to identify misinformation; however, it also highlighted that the field is dominated by tightly controlled experimental methods with few field studies conducted under </w:t>
      </w:r>
      <w:r w:rsidR="02942DCC">
        <w:t>‘</w:t>
      </w:r>
      <w:r>
        <w:t>real</w:t>
      </w:r>
      <w:r w:rsidR="007A7BB6">
        <w:noBreakHyphen/>
      </w:r>
      <w:r>
        <w:t>world</w:t>
      </w:r>
      <w:r w:rsidR="4564B60E">
        <w:t>’</w:t>
      </w:r>
      <w:r>
        <w:t xml:space="preserve"> conditions or longitudinal studies that assess the longevity of effects. </w:t>
      </w:r>
    </w:p>
    <w:p w14:paraId="79DF5654" w14:textId="27BD8FE8" w:rsidR="00E11077" w:rsidRPr="0093148C" w:rsidRDefault="00E11077" w:rsidP="00425B1D">
      <w:r>
        <w:t>Further, most studies are carried out with adults, limiting our understanding of the effectiveness of media literacy as a tool to tackle misinformation across different populations</w:t>
      </w:r>
      <w:r w:rsidR="00AC1C84">
        <w:t xml:space="preserve"> – </w:t>
      </w:r>
      <w:r w:rsidR="001614BC">
        <w:t xml:space="preserve">additional </w:t>
      </w:r>
      <w:r>
        <w:t>research is warranted to assess efficacy with children and diverse ethnic groups.</w:t>
      </w:r>
    </w:p>
    <w:p w14:paraId="5D204FC1" w14:textId="6C53716B" w:rsidR="00E11077" w:rsidRPr="0093148C" w:rsidRDefault="00E11077" w:rsidP="007A7BB6">
      <w:pPr>
        <w:pStyle w:val="Heading4Numbered"/>
      </w:pPr>
      <w:r w:rsidRPr="5680E597">
        <w:t xml:space="preserve">Broader </w:t>
      </w:r>
      <w:r w:rsidR="21894A27" w:rsidRPr="5680E597">
        <w:t>c</w:t>
      </w:r>
      <w:r w:rsidRPr="5680E597">
        <w:t xml:space="preserve">hallenges for </w:t>
      </w:r>
      <w:r w:rsidR="4FC9012B" w:rsidRPr="5680E597">
        <w:t>m</w:t>
      </w:r>
      <w:r w:rsidRPr="5680E597">
        <w:t xml:space="preserve">edia and </w:t>
      </w:r>
      <w:r w:rsidR="4C44D794" w:rsidRPr="23310D9E">
        <w:t>d</w:t>
      </w:r>
      <w:r w:rsidRPr="23310D9E">
        <w:t xml:space="preserve">igital </w:t>
      </w:r>
      <w:r w:rsidR="4607362E" w:rsidRPr="23310D9E">
        <w:t>l</w:t>
      </w:r>
      <w:r w:rsidRPr="23310D9E">
        <w:t xml:space="preserve">iteracy </w:t>
      </w:r>
    </w:p>
    <w:p w14:paraId="2EC4BB76" w14:textId="54075A53" w:rsidR="00E11077" w:rsidRPr="0093148C" w:rsidRDefault="00E11077" w:rsidP="00425B1D">
      <w:r>
        <w:t xml:space="preserve">Possible ancillary effects of </w:t>
      </w:r>
      <w:r w:rsidR="00AD265C">
        <w:t>media literacy</w:t>
      </w:r>
      <w:r>
        <w:t xml:space="preserve"> interventions may include people becoming overly sceptical (e.g., of factual news) and overconfident in their literacy skills </w:t>
      </w:r>
      <w:r w:rsidR="0041588F">
        <w:t>(Lyons et al. 2024;</w:t>
      </w:r>
      <w:r>
        <w:t xml:space="preserve"> Nygren et al. 2024). Despite the overall benefits, research with Australian teachers also highlights challenges in implementing information and </w:t>
      </w:r>
      <w:r w:rsidR="00AD265C">
        <w:t>media literacy</w:t>
      </w:r>
      <w:r>
        <w:t xml:space="preserve"> education in the classroom, including lack of space in the curriculum, and capacity to prepare content and professional development – aligning with findings of a recent European Commission Report on digital literacy in education (Corser et al. 2022; European Commission 2022</w:t>
      </w:r>
      <w:r w:rsidR="0047564F">
        <w:t xml:space="preserve">; </w:t>
      </w:r>
      <w:r w:rsidR="009223BD">
        <w:t>see Webber et al. 2023</w:t>
      </w:r>
      <w:r>
        <w:t xml:space="preserve">). </w:t>
      </w:r>
    </w:p>
    <w:p w14:paraId="07FFDA31" w14:textId="23948CE7" w:rsidR="00E11077" w:rsidRPr="0093148C" w:rsidRDefault="00E11077" w:rsidP="00425B1D">
      <w:r>
        <w:t>Further, research on teacher training suggests social skills in managing classroom dynamics (in concert with content</w:t>
      </w:r>
      <w:r w:rsidR="007A7BB6">
        <w:noBreakHyphen/>
      </w:r>
      <w:r>
        <w:t xml:space="preserve">specific knowledge) is an important target in supporting teachers to effectively navigate controversial misinformation topics in media education </w:t>
      </w:r>
      <w:r w:rsidR="0041588F">
        <w:t>(Hansson et al. 2023)</w:t>
      </w:r>
      <w:r w:rsidRPr="64C4819D">
        <w:rPr>
          <w:rFonts w:eastAsia="Times New Roman"/>
          <w:szCs w:val="24"/>
        </w:rPr>
        <w:t xml:space="preserve">. </w:t>
      </w:r>
      <w:r>
        <w:t>Supporting teaching simulations on such topics at scale may help to better position the educational workforce.</w:t>
      </w:r>
    </w:p>
    <w:p w14:paraId="5C4E190A" w14:textId="40002180" w:rsidR="00E11077" w:rsidRPr="0093148C" w:rsidRDefault="00E11077" w:rsidP="00425B1D">
      <w:r>
        <w:t xml:space="preserve">Moreover, when considering digital </w:t>
      </w:r>
      <w:r w:rsidR="00AD265C">
        <w:t>media literacy</w:t>
      </w:r>
      <w:r>
        <w:t xml:space="preserve"> interventions, it is important to recognise and overcome the societal barriers of digital exclusion </w:t>
      </w:r>
      <w:r w:rsidR="0041588F">
        <w:t>(e.g., low initial literacy levels or a lack of access to devices and the internet; Foth et al. 2023)</w:t>
      </w:r>
      <w:r>
        <w:t>. It is also necessary to consider other group</w:t>
      </w:r>
      <w:r w:rsidR="007A7BB6">
        <w:noBreakHyphen/>
      </w:r>
      <w:r>
        <w:t xml:space="preserve">level factors: correlational research shows that older adults </w:t>
      </w:r>
      <w:r w:rsidR="0041588F">
        <w:t>(Notley et al. 2024)</w:t>
      </w:r>
      <w:r>
        <w:t xml:space="preserve"> and those with lower education or academic performance (Martens </w:t>
      </w:r>
      <w:r w:rsidR="0041588F">
        <w:t>and</w:t>
      </w:r>
      <w:r>
        <w:t xml:space="preserve"> Hobbs 2015) have lower levels of media literacy and confidence. </w:t>
      </w:r>
    </w:p>
    <w:p w14:paraId="148B738F" w14:textId="2CE27D9C" w:rsidR="00333BE7" w:rsidRPr="0093148C" w:rsidRDefault="00E11077" w:rsidP="00887C6D">
      <w:r>
        <w:t>Culturally and linguistically diverse communities also face distinct challenges when accessing and evaluating information, with a higher degree of reliance on family members or social media for important (e.g., health</w:t>
      </w:r>
      <w:r w:rsidR="007A7BB6">
        <w:noBreakHyphen/>
      </w:r>
      <w:r>
        <w:t xml:space="preserve">related) information </w:t>
      </w:r>
      <w:r w:rsidR="009D4284">
        <w:t>(Wen et al. 2021)</w:t>
      </w:r>
      <w:r>
        <w:t xml:space="preserve">. Active equity measures are therefore required, and should fully utilise existing or new infrastructure at the community level. For example, public libraries represent key hubs for access to technology and the dissemination of sound information and </w:t>
      </w:r>
      <w:r w:rsidR="00AD265C">
        <w:t>media literacy</w:t>
      </w:r>
      <w:r>
        <w:t xml:space="preserve"> advice, just as teacher</w:t>
      </w:r>
      <w:r w:rsidR="007A7BB6">
        <w:noBreakHyphen/>
      </w:r>
      <w:r>
        <w:t xml:space="preserve">librarians promote information skills in schools </w:t>
      </w:r>
      <w:r w:rsidR="009D4284">
        <w:t>(Park et al. 2023)</w:t>
      </w:r>
      <w:r>
        <w:t>.</w:t>
      </w:r>
    </w:p>
    <w:p w14:paraId="3D1A9B5D" w14:textId="4D870111" w:rsidR="00E11077" w:rsidRPr="00BD6EDA" w:rsidRDefault="00E11077" w:rsidP="00333BE7">
      <w:pPr>
        <w:pStyle w:val="Calloutbox"/>
        <w:keepNext/>
        <w:rPr>
          <w:rStyle w:val="Strong"/>
        </w:rPr>
      </w:pPr>
      <w:r w:rsidRPr="00BD6EDA">
        <w:rPr>
          <w:rStyle w:val="Strong"/>
        </w:rPr>
        <w:t xml:space="preserve">Broader </w:t>
      </w:r>
      <w:r w:rsidR="45179786" w:rsidRPr="00BD6EDA">
        <w:rPr>
          <w:rStyle w:val="Strong"/>
        </w:rPr>
        <w:t>b</w:t>
      </w:r>
      <w:r w:rsidRPr="00BD6EDA">
        <w:rPr>
          <w:rStyle w:val="Strong"/>
        </w:rPr>
        <w:t xml:space="preserve">enefits of </w:t>
      </w:r>
      <w:r w:rsidR="4EB69AE6" w:rsidRPr="00BD6EDA">
        <w:rPr>
          <w:rStyle w:val="Strong"/>
        </w:rPr>
        <w:t>e</w:t>
      </w:r>
      <w:r w:rsidRPr="00BD6EDA">
        <w:rPr>
          <w:rStyle w:val="Strong"/>
        </w:rPr>
        <w:t>ducation</w:t>
      </w:r>
    </w:p>
    <w:p w14:paraId="3B1DF2F6" w14:textId="3A0E71A2" w:rsidR="00E11077" w:rsidRPr="00BD6EDA" w:rsidRDefault="00E11077" w:rsidP="00333BE7">
      <w:pPr>
        <w:pStyle w:val="Calloutbox"/>
        <w:keepNext/>
        <w:rPr>
          <w:rStyle w:val="IntenseEmphasis"/>
        </w:rPr>
      </w:pPr>
      <w:r w:rsidRPr="00BD6EDA">
        <w:rPr>
          <w:rStyle w:val="IntenseEmphasis"/>
        </w:rPr>
        <w:t xml:space="preserve">Critical thinking, </w:t>
      </w:r>
      <w:r w:rsidR="2CCFD229" w:rsidRPr="00BD6EDA">
        <w:rPr>
          <w:rStyle w:val="IntenseEmphasis"/>
        </w:rPr>
        <w:t>k</w:t>
      </w:r>
      <w:r w:rsidRPr="00BD6EDA">
        <w:rPr>
          <w:rStyle w:val="IntenseEmphasis"/>
        </w:rPr>
        <w:t xml:space="preserve">nowledge and </w:t>
      </w:r>
      <w:r w:rsidR="71EEF82B" w:rsidRPr="00BD6EDA">
        <w:rPr>
          <w:rStyle w:val="IntenseEmphasis"/>
        </w:rPr>
        <w:t>s</w:t>
      </w:r>
      <w:r w:rsidRPr="00BD6EDA">
        <w:rPr>
          <w:rStyle w:val="IntenseEmphasis"/>
        </w:rPr>
        <w:t xml:space="preserve">cience </w:t>
      </w:r>
      <w:r w:rsidR="41FCCC4C" w:rsidRPr="00BD6EDA">
        <w:rPr>
          <w:rStyle w:val="IntenseEmphasis"/>
        </w:rPr>
        <w:t>e</w:t>
      </w:r>
      <w:r w:rsidRPr="00BD6EDA">
        <w:rPr>
          <w:rStyle w:val="IntenseEmphasis"/>
        </w:rPr>
        <w:t xml:space="preserve">ducation </w:t>
      </w:r>
    </w:p>
    <w:p w14:paraId="40C70225" w14:textId="1ACAFE11" w:rsidR="00E11077" w:rsidRPr="0093148C" w:rsidRDefault="00E11077" w:rsidP="00333BE7">
      <w:pPr>
        <w:pStyle w:val="Calloutbox"/>
        <w:keepNext/>
        <w:rPr>
          <w:b/>
          <w:bCs/>
        </w:rPr>
      </w:pPr>
      <w:r>
        <w:t>Critical thinking</w:t>
      </w:r>
      <w:r w:rsidR="00AC1C84">
        <w:t xml:space="preserve"> – </w:t>
      </w:r>
      <w:r>
        <w:t>engaging in reflective, analytical and evidence</w:t>
      </w:r>
      <w:r w:rsidR="007A7BB6">
        <w:noBreakHyphen/>
      </w:r>
      <w:r>
        <w:t>based assessment</w:t>
      </w:r>
      <w:r w:rsidR="00AC1C84">
        <w:t xml:space="preserve"> – </w:t>
      </w:r>
      <w:r>
        <w:t xml:space="preserve">is associated with the rejection of unsubstantiated claims </w:t>
      </w:r>
      <w:r w:rsidR="009D4284">
        <w:t>(Bensley 2023;</w:t>
      </w:r>
      <w:r>
        <w:t xml:space="preserve"> </w:t>
      </w:r>
      <w:proofErr w:type="spellStart"/>
      <w:r>
        <w:t>Yelbuz</w:t>
      </w:r>
      <w:proofErr w:type="spellEnd"/>
      <w:r>
        <w:t>, et al. 2022). Domain</w:t>
      </w:r>
      <w:r w:rsidR="007A7BB6">
        <w:noBreakHyphen/>
      </w:r>
      <w:r>
        <w:t>specific knowledge can also protect against misleading arguments and work to facilitate critical thinking (</w:t>
      </w:r>
      <w:proofErr w:type="spellStart"/>
      <w:r>
        <w:t>Guath</w:t>
      </w:r>
      <w:proofErr w:type="spellEnd"/>
      <w:r>
        <w:t xml:space="preserve"> </w:t>
      </w:r>
      <w:r w:rsidR="009D4284">
        <w:t>and</w:t>
      </w:r>
      <w:r>
        <w:t xml:space="preserve"> Nygren 2022). In domains such as public health, having knowledge about scientific processes, data evaluation, and standards of evidence can offer protection from pseudoscientific claims </w:t>
      </w:r>
      <w:r w:rsidR="009D4284">
        <w:t>(</w:t>
      </w:r>
      <w:proofErr w:type="spellStart"/>
      <w:r w:rsidR="009D4284">
        <w:t>Čavojová</w:t>
      </w:r>
      <w:proofErr w:type="spellEnd"/>
      <w:r w:rsidR="009D4284">
        <w:t>, et al. 2024)</w:t>
      </w:r>
      <w:r>
        <w:t xml:space="preserve">. Such knowledge can also foster a broader appreciation of the value of others’ expertise grounded in an understanding of how knowledge is created (Osborne </w:t>
      </w:r>
      <w:r w:rsidR="009D4284">
        <w:t>and</w:t>
      </w:r>
      <w:r>
        <w:t xml:space="preserve"> Allchin 2024).</w:t>
      </w:r>
    </w:p>
    <w:p w14:paraId="7E2A2B15" w14:textId="52E62D39" w:rsidR="00592485" w:rsidRPr="00BD6EDA" w:rsidRDefault="00E11077" w:rsidP="00333BE7">
      <w:pPr>
        <w:pStyle w:val="Calloutbox"/>
        <w:keepNext/>
        <w:rPr>
          <w:rStyle w:val="IntenseEmphasis"/>
        </w:rPr>
      </w:pPr>
      <w:r w:rsidRPr="00BD6EDA">
        <w:rPr>
          <w:rStyle w:val="IntenseEmphasis"/>
        </w:rPr>
        <w:t xml:space="preserve">Civics </w:t>
      </w:r>
      <w:r w:rsidR="2BDEB852" w:rsidRPr="00BD6EDA">
        <w:rPr>
          <w:rStyle w:val="IntenseEmphasis"/>
        </w:rPr>
        <w:t>e</w:t>
      </w:r>
      <w:r w:rsidRPr="00BD6EDA">
        <w:rPr>
          <w:rStyle w:val="IntenseEmphasis"/>
        </w:rPr>
        <w:t xml:space="preserve">ducation </w:t>
      </w:r>
    </w:p>
    <w:p w14:paraId="2DAA2A99" w14:textId="07753CAA" w:rsidR="00592485" w:rsidRDefault="00E11077" w:rsidP="00333BE7">
      <w:pPr>
        <w:pStyle w:val="Calloutbox"/>
        <w:keepNext/>
      </w:pPr>
      <w:r>
        <w:t>Finding credible information is key to democratic decision</w:t>
      </w:r>
      <w:r w:rsidR="007A7BB6">
        <w:noBreakHyphen/>
      </w:r>
      <w:r>
        <w:t xml:space="preserve">making. This is why in Finland–long recognised as a leader in this field–media and information literacy are part of civics education </w:t>
      </w:r>
      <w:r w:rsidR="009D4284">
        <w:t>(OPMCSA 2023)</w:t>
      </w:r>
      <w:r>
        <w:t xml:space="preserve">. There is also an opportunity in Australia to more closely link civics education to foundational knowledge and literacy skills. Such integration will allow civics education to go beyond learning about Australian democratic values and electoral processes to also highlight the importance of civic engagement and </w:t>
      </w:r>
      <w:r w:rsidR="000822DE">
        <w:t>‘</w:t>
      </w:r>
      <w:r>
        <w:t>political efficacy</w:t>
      </w:r>
      <w:r w:rsidR="000822DE">
        <w:t>’</w:t>
      </w:r>
      <w:r>
        <w:t xml:space="preserve">, the feeling that it is worthwhile to perform one’s civic duties (Bowyer </w:t>
      </w:r>
      <w:r w:rsidR="009D4284">
        <w:t>and</w:t>
      </w:r>
      <w:r>
        <w:t xml:space="preserve"> Kahne 2020). From an education perspective, informed democratic debate is enhanced when students learn to engage in reflective and actively open</w:t>
      </w:r>
      <w:r w:rsidR="007A7BB6">
        <w:noBreakHyphen/>
      </w:r>
      <w:r>
        <w:t>minded thinking (</w:t>
      </w:r>
      <w:proofErr w:type="spellStart"/>
      <w:r>
        <w:t>Curzer</w:t>
      </w:r>
      <w:proofErr w:type="spellEnd"/>
      <w:r>
        <w:t xml:space="preserve"> </w:t>
      </w:r>
      <w:r w:rsidR="009D4284">
        <w:t>and</w:t>
      </w:r>
      <w:r>
        <w:t xml:space="preserve"> Gottlieb 2019), and when civic</w:t>
      </w:r>
      <w:r w:rsidR="007A7BB6">
        <w:noBreakHyphen/>
      </w:r>
      <w:r>
        <w:t xml:space="preserve">reasoning lessons utilise systematic exercises that require shifts in perspective </w:t>
      </w:r>
      <w:r w:rsidR="009D4284">
        <w:t>(Sandahl 2020)</w:t>
      </w:r>
      <w:r>
        <w:t xml:space="preserve"> and are applicable to real</w:t>
      </w:r>
      <w:r w:rsidR="007A7BB6">
        <w:noBreakHyphen/>
      </w:r>
      <w:r>
        <w:t xml:space="preserve">world problems </w:t>
      </w:r>
      <w:r w:rsidR="009D4284">
        <w:t>(Bronkhorst et al. 2020)</w:t>
      </w:r>
      <w:r>
        <w:t>.</w:t>
      </w:r>
    </w:p>
    <w:p w14:paraId="229BC773" w14:textId="0397E1AF" w:rsidR="00E11077" w:rsidRPr="00BD6EDA" w:rsidRDefault="00E11077" w:rsidP="00333BE7">
      <w:pPr>
        <w:pStyle w:val="Calloutbox"/>
        <w:keepNext/>
        <w:rPr>
          <w:rStyle w:val="IntenseEmphasis"/>
        </w:rPr>
      </w:pPr>
      <w:r w:rsidRPr="00BD6EDA">
        <w:rPr>
          <w:rStyle w:val="IntenseEmphasis"/>
        </w:rPr>
        <w:t xml:space="preserve">Implementation </w:t>
      </w:r>
      <w:r w:rsidR="65FA5702" w:rsidRPr="00BD6EDA">
        <w:rPr>
          <w:rStyle w:val="IntenseEmphasis"/>
        </w:rPr>
        <w:t>c</w:t>
      </w:r>
      <w:r w:rsidRPr="00BD6EDA">
        <w:rPr>
          <w:rStyle w:val="IntenseEmphasis"/>
        </w:rPr>
        <w:t xml:space="preserve">onsiderations </w:t>
      </w:r>
    </w:p>
    <w:p w14:paraId="7430EB4C" w14:textId="6443C027" w:rsidR="007A7BB6" w:rsidRDefault="00E11077" w:rsidP="00BD6EDA">
      <w:pPr>
        <w:pStyle w:val="Calloutbox"/>
      </w:pPr>
      <w:r>
        <w:t>While such knowledge and skills are important building blocks of an effective response to current challenges, they are insufficient if not supported by positive attitudes towards knowledge, evidence</w:t>
      </w:r>
      <w:r w:rsidR="007A7BB6">
        <w:noBreakHyphen/>
      </w:r>
      <w:r>
        <w:t xml:space="preserve">informed policy, and democracy, which buttress fundamental trust in society and its knowledge institutions </w:t>
      </w:r>
      <w:r w:rsidR="009D4284">
        <w:t>(Haider and Sundin 2022;</w:t>
      </w:r>
      <w:r>
        <w:t xml:space="preserve"> Arechar et al. 2023). One must also acknowledge the limitations of a pure </w:t>
      </w:r>
      <w:r w:rsidR="0105B97A">
        <w:t>‘</w:t>
      </w:r>
      <w:r>
        <w:t>knowledge deficit</w:t>
      </w:r>
      <w:r w:rsidR="114D524F">
        <w:t>’</w:t>
      </w:r>
      <w:r>
        <w:t xml:space="preserve"> approach, which assumes that simply providing more and better information is a sufficient solution. It is important to pursue complementary strategies to engage citizens and communities </w:t>
      </w:r>
      <w:r w:rsidR="009D4284">
        <w:t>(e.g., scientists engaging with the public; Nadkarni et al. 2019)</w:t>
      </w:r>
      <w:r>
        <w:t xml:space="preserve"> and support transparency in decision and policy</w:t>
      </w:r>
      <w:r w:rsidR="007A7BB6">
        <w:noBreakHyphen/>
      </w:r>
      <w:r>
        <w:t xml:space="preserve">making as well as communications in order to build community trust </w:t>
      </w:r>
      <w:r w:rsidR="009D4284">
        <w:t>(Hyland</w:t>
      </w:r>
      <w:r w:rsidR="009D4284">
        <w:noBreakHyphen/>
        <w:t>Wood et al. 2021)</w:t>
      </w:r>
      <w:r>
        <w:t xml:space="preserve">. As with literacy, educational interventions must take into account the needs of different groups, in particular those who face structural disadvantages </w:t>
      </w:r>
      <w:r w:rsidR="009D4284">
        <w:t>(</w:t>
      </w:r>
      <w:proofErr w:type="spellStart"/>
      <w:r w:rsidR="009D4284">
        <w:t>Dezuanni</w:t>
      </w:r>
      <w:proofErr w:type="spellEnd"/>
      <w:r w:rsidR="009D4284">
        <w:t xml:space="preserve"> et al. 2021;</w:t>
      </w:r>
      <w:r>
        <w:t xml:space="preserve"> Romanova et al. 2024).</w:t>
      </w:r>
      <w:bookmarkStart w:id="50" w:name="_Hlk200011317"/>
      <w:r w:rsidR="007A7BB6">
        <w:br w:type="page"/>
      </w:r>
    </w:p>
    <w:p w14:paraId="13BFB9E6" w14:textId="09E5C8FA" w:rsidR="00E11077" w:rsidRPr="00CB7CCA" w:rsidRDefault="00E11077" w:rsidP="00887C6D">
      <w:pPr>
        <w:pStyle w:val="Heading3Numbered"/>
      </w:pPr>
      <w:bookmarkStart w:id="51" w:name="_Toc218511665"/>
      <w:r>
        <w:t xml:space="preserve">Competencies </w:t>
      </w:r>
      <w:r w:rsidR="47599AE8">
        <w:t>t</w:t>
      </w:r>
      <w:r>
        <w:t xml:space="preserve">argeted in </w:t>
      </w:r>
      <w:r w:rsidR="4B582B89">
        <w:t>b</w:t>
      </w:r>
      <w:r>
        <w:t xml:space="preserve">rief </w:t>
      </w:r>
      <w:r w:rsidR="6551DA58">
        <w:t>i</w:t>
      </w:r>
      <w:r>
        <w:t>nterventions</w:t>
      </w:r>
      <w:r w:rsidR="000822DE">
        <w:br/>
      </w:r>
      <w:r>
        <w:t>(</w:t>
      </w:r>
      <w:r w:rsidR="1395598A">
        <w:t>i</w:t>
      </w:r>
      <w:r>
        <w:t>nformation</w:t>
      </w:r>
      <w:r w:rsidR="000822DE">
        <w:t> </w:t>
      </w:r>
      <w:r w:rsidR="65856D39">
        <w:t>e</w:t>
      </w:r>
      <w:r>
        <w:t>nvironment</w:t>
      </w:r>
      <w:r w:rsidR="000822DE">
        <w:t> </w:t>
      </w:r>
      <w:r w:rsidR="71DC51AE" w:rsidRPr="00887C6D">
        <w:t>i</w:t>
      </w:r>
      <w:r w:rsidRPr="00887C6D">
        <w:t>nterventions</w:t>
      </w:r>
      <w:r>
        <w:t>)</w:t>
      </w:r>
      <w:bookmarkEnd w:id="51"/>
    </w:p>
    <w:p w14:paraId="3D4B66A0" w14:textId="5CCEAF61" w:rsidR="00E11077" w:rsidRPr="0093148C" w:rsidRDefault="00E11077" w:rsidP="00425B1D">
      <w:r w:rsidRPr="0093148C">
        <w:t>Brief interventions are deployed through short text or audiovisual formats to address misinformation that is anticipated or to boost key skills that effectively support discernment. The interventions are intended to pre</w:t>
      </w:r>
      <w:r w:rsidR="007A7BB6">
        <w:noBreakHyphen/>
      </w:r>
      <w:r w:rsidRPr="0093148C">
        <w:t>empt misinformation, such that at exposure, people have the skills and knowledge necessary to identify misinformation and ward off its effects. These interventions can be delivered across a range of contexts–from embedded advertising, pop</w:t>
      </w:r>
      <w:r w:rsidR="007A7BB6">
        <w:noBreakHyphen/>
      </w:r>
      <w:r w:rsidRPr="0093148C">
        <w:t>ups, and in mainstream content, and can also be embedded in school and community programs.</w:t>
      </w:r>
    </w:p>
    <w:p w14:paraId="10ACD933" w14:textId="5243A03A" w:rsidR="00E11077" w:rsidRPr="00CB7CCA" w:rsidRDefault="00E11077" w:rsidP="007A7BB6">
      <w:pPr>
        <w:pStyle w:val="Heading3Numbered"/>
      </w:pPr>
      <w:bookmarkStart w:id="52" w:name="_Toc218511666"/>
      <w:proofErr w:type="spellStart"/>
      <w:r w:rsidRPr="00CB7CCA">
        <w:t>Prebunking</w:t>
      </w:r>
      <w:proofErr w:type="spellEnd"/>
      <w:r w:rsidRPr="00CB7CCA">
        <w:t xml:space="preserve"> (</w:t>
      </w:r>
      <w:r w:rsidR="010B42A3">
        <w:t>f</w:t>
      </w:r>
      <w:r>
        <w:t>act-</w:t>
      </w:r>
      <w:r w:rsidR="1B288810">
        <w:t>b</w:t>
      </w:r>
      <w:r w:rsidRPr="00CB7CCA">
        <w:t xml:space="preserve">ased and </w:t>
      </w:r>
      <w:r w:rsidR="0CB3A1FA">
        <w:t>l</w:t>
      </w:r>
      <w:r w:rsidRPr="00CB7CCA">
        <w:t>ogic-</w:t>
      </w:r>
      <w:r w:rsidR="3B82197E">
        <w:t>b</w:t>
      </w:r>
      <w:r w:rsidRPr="00CB7CCA">
        <w:t>ased)</w:t>
      </w:r>
      <w:bookmarkEnd w:id="52"/>
    </w:p>
    <w:p w14:paraId="52154188" w14:textId="0B3AAE6C" w:rsidR="00E11077" w:rsidRPr="00333BE7" w:rsidRDefault="00E11077" w:rsidP="00333BE7">
      <w:pPr>
        <w:pStyle w:val="Quote"/>
      </w:pPr>
      <w:r w:rsidRPr="00333BE7">
        <w:t>Interventions that pre</w:t>
      </w:r>
      <w:r w:rsidR="007A7BB6">
        <w:noBreakHyphen/>
      </w:r>
      <w:r w:rsidRPr="00333BE7">
        <w:t>emptively warn about a manipulative or deceptive message or tactic help people detect incoming misinformation.</w:t>
      </w:r>
    </w:p>
    <w:p w14:paraId="7F2C772F" w14:textId="2FC74D26" w:rsidR="00E11077" w:rsidRPr="0093148C" w:rsidRDefault="00E11077" w:rsidP="007A7BB6">
      <w:pPr>
        <w:pStyle w:val="Heading4Numbered"/>
      </w:pPr>
      <w:r w:rsidRPr="00B83FE8">
        <w:t xml:space="preserve">Introduction to the </w:t>
      </w:r>
      <w:r w:rsidR="5A721F93" w:rsidRPr="00B83FE8">
        <w:t>i</w:t>
      </w:r>
      <w:r w:rsidRPr="00B83FE8">
        <w:t xml:space="preserve">ssue and </w:t>
      </w:r>
      <w:r w:rsidR="76204CA4" w:rsidRPr="00B83FE8">
        <w:t>t</w:t>
      </w:r>
      <w:r w:rsidRPr="00B83FE8">
        <w:t xml:space="preserve">argeted </w:t>
      </w:r>
      <w:r w:rsidR="4228C421" w:rsidRPr="263A5FB5">
        <w:t>m</w:t>
      </w:r>
      <w:r w:rsidRPr="263A5FB5">
        <w:t xml:space="preserve">echanisms </w:t>
      </w:r>
    </w:p>
    <w:p w14:paraId="147FED9A" w14:textId="7A57DB65" w:rsidR="00E11077" w:rsidRPr="0093148C" w:rsidRDefault="00E11077" w:rsidP="00425B1D">
      <w:proofErr w:type="spellStart"/>
      <w:r>
        <w:t>Prebunking</w:t>
      </w:r>
      <w:proofErr w:type="spellEnd"/>
      <w:r>
        <w:t xml:space="preserve"> aims to pre</w:t>
      </w:r>
      <w:r w:rsidR="007A7BB6">
        <w:noBreakHyphen/>
      </w:r>
      <w:r>
        <w:t xml:space="preserve">emptively enhance resilience by equipping individuals with tools to resist false or misleading claims (Lewandowsky </w:t>
      </w:r>
      <w:r w:rsidR="009D4284">
        <w:t>and</w:t>
      </w:r>
      <w:r>
        <w:t xml:space="preserve"> van der Linden </w:t>
      </w:r>
      <w:r w:rsidRPr="007F0888">
        <w:t>2021).</w:t>
      </w:r>
      <w:r w:rsidRPr="00224B7E">
        <w:t xml:space="preserve"> </w:t>
      </w:r>
      <w:r w:rsidRPr="007F0888">
        <w:t>Fact</w:t>
      </w:r>
      <w:r w:rsidR="007A7BB6">
        <w:noBreakHyphen/>
      </w:r>
      <w:r w:rsidRPr="007F0888">
        <w:t xml:space="preserve">based </w:t>
      </w:r>
      <w:proofErr w:type="spellStart"/>
      <w:r w:rsidRPr="007F0888">
        <w:t>prebunking</w:t>
      </w:r>
      <w:proofErr w:type="spellEnd"/>
      <w:r w:rsidRPr="007F0888">
        <w:t xml:space="preserve"> involves building protective knowledge about specific misinformation</w:t>
      </w:r>
      <w:r>
        <w:t xml:space="preserve"> threats (e.g., the U.S. government pre</w:t>
      </w:r>
      <w:r w:rsidR="007A7BB6">
        <w:noBreakHyphen/>
      </w:r>
      <w:r>
        <w:t xml:space="preserve">emptively sharing details about Russia’s </w:t>
      </w:r>
      <w:r w:rsidRPr="7D0EB7E4">
        <w:t xml:space="preserve">likely justification for the invasion of Ukraine). In contrast, </w:t>
      </w:r>
      <w:r w:rsidRPr="007F0888">
        <w:t>logic</w:t>
      </w:r>
      <w:r w:rsidR="007A7BB6">
        <w:noBreakHyphen/>
      </w:r>
      <w:r w:rsidRPr="007F0888">
        <w:t xml:space="preserve">based </w:t>
      </w:r>
      <w:proofErr w:type="spellStart"/>
      <w:r w:rsidRPr="007F0888">
        <w:t>prebunking</w:t>
      </w:r>
      <w:proofErr w:type="spellEnd"/>
      <w:r w:rsidRPr="7D0EB7E4">
        <w:t xml:space="preserve"> focuses on explaining the logical fallacies and deceptive techniques commonly employed in misleading argumentation (e.g., emotional manipulation, ad</w:t>
      </w:r>
      <w:r w:rsidR="00016AC2">
        <w:t> </w:t>
      </w:r>
      <w:r w:rsidRPr="7D0EB7E4">
        <w:t>hominem attacks, cherry</w:t>
      </w:r>
      <w:r w:rsidR="00783731">
        <w:noBreakHyphen/>
      </w:r>
      <w:r w:rsidRPr="7D0EB7E4">
        <w:t>picking, oversimplification, non</w:t>
      </w:r>
      <w:r w:rsidR="00783731">
        <w:noBreakHyphen/>
      </w:r>
      <w:r w:rsidRPr="7D0EB7E4">
        <w:t xml:space="preserve">sequitur, etc.), and as such can </w:t>
      </w:r>
      <w:r>
        <w:t>operate as a brief intervention to boost information</w:t>
      </w:r>
      <w:r w:rsidR="00AD265C">
        <w:t xml:space="preserve"> </w:t>
      </w:r>
      <w:r>
        <w:t>literacy and critical</w:t>
      </w:r>
      <w:r w:rsidR="00AD265C">
        <w:t xml:space="preserve"> </w:t>
      </w:r>
      <w:r>
        <w:t>thinking skills.</w:t>
      </w:r>
    </w:p>
    <w:p w14:paraId="6CB7EF2A" w14:textId="4B5C504E" w:rsidR="00E11077" w:rsidRPr="0093148C" w:rsidRDefault="00E11077" w:rsidP="007A7BB6">
      <w:pPr>
        <w:pStyle w:val="Heading4Numbered"/>
      </w:pPr>
      <w:r w:rsidRPr="7D0EB7E4">
        <w:t xml:space="preserve">Interventions </w:t>
      </w:r>
    </w:p>
    <w:p w14:paraId="0ACAF5B4" w14:textId="56B24799" w:rsidR="00E11077" w:rsidRPr="00887C6D" w:rsidRDefault="00E11077" w:rsidP="7D0EB7E4">
      <w:r>
        <w:t>One well</w:t>
      </w:r>
      <w:r w:rsidR="00783731">
        <w:noBreakHyphen/>
      </w:r>
      <w:r>
        <w:t xml:space="preserve">studied type of </w:t>
      </w:r>
      <w:proofErr w:type="spellStart"/>
      <w:r>
        <w:t>prebunking</w:t>
      </w:r>
      <w:proofErr w:type="spellEnd"/>
      <w:r>
        <w:t xml:space="preserve"> is psychological inoculation. Drawing on a medical analogy, the idea is to combine a pre</w:t>
      </w:r>
      <w:r w:rsidR="00783731">
        <w:noBreakHyphen/>
      </w:r>
      <w:r>
        <w:t xml:space="preserve">emptive warning of a persuasive </w:t>
      </w:r>
      <w:r w:rsidR="000822DE">
        <w:t>‘</w:t>
      </w:r>
      <w:r>
        <w:t>attack</w:t>
      </w:r>
      <w:r w:rsidR="000822DE">
        <w:t>’</w:t>
      </w:r>
      <w:r>
        <w:t xml:space="preserve"> (e.g., that one is likely to encounter misinformation in a given context) with an explanation of that attack via a weakened example (e.g., explaining the technique of cherry</w:t>
      </w:r>
      <w:r w:rsidR="00783731">
        <w:noBreakHyphen/>
      </w:r>
      <w:r>
        <w:t>picking using an easy</w:t>
      </w:r>
      <w:r w:rsidR="00783731">
        <w:noBreakHyphen/>
      </w:r>
      <w:r>
        <w:t>to</w:t>
      </w:r>
      <w:r w:rsidR="00783731">
        <w:noBreakHyphen/>
      </w:r>
      <w:r>
        <w:t>understand example). Efficacy is typically assessed by comparing a treatment group with a control group in terms of their ability to identify the misleading techniques or their belief in misinformation claims.</w:t>
      </w:r>
    </w:p>
    <w:p w14:paraId="6D07BBD5" w14:textId="22681F67" w:rsidR="00E11077" w:rsidRPr="0093148C" w:rsidRDefault="00E11077" w:rsidP="007A7BB6">
      <w:pPr>
        <w:pStyle w:val="Heading4Numbered"/>
      </w:pPr>
      <w:r w:rsidRPr="229CFE4A">
        <w:t xml:space="preserve">Strength of </w:t>
      </w:r>
      <w:r w:rsidR="7F0969C5" w:rsidRPr="6777BE66">
        <w:t>e</w:t>
      </w:r>
      <w:r w:rsidRPr="229CFE4A">
        <w:t xml:space="preserve">vidence and </w:t>
      </w:r>
      <w:r w:rsidR="66D158C0" w:rsidRPr="6777BE66">
        <w:t>l</w:t>
      </w:r>
      <w:r w:rsidRPr="6777BE66">
        <w:t xml:space="preserve">imitations </w:t>
      </w:r>
    </w:p>
    <w:p w14:paraId="03060114" w14:textId="5B50382E" w:rsidR="00E11077" w:rsidRPr="00887C6D" w:rsidRDefault="00E11077" w:rsidP="3AD1440F">
      <w:r>
        <w:t xml:space="preserve">A substantive body of work supports the efficacy of </w:t>
      </w:r>
      <w:proofErr w:type="spellStart"/>
      <w:r>
        <w:t>prebunking</w:t>
      </w:r>
      <w:proofErr w:type="spellEnd"/>
      <w:r>
        <w:t xml:space="preserve">. This includes both lab experiments and field studies on online platforms like YouTube and in educational settings across diverse locations such as Indonesia, the European Union, and Ghana (Cook et al. 2024; </w:t>
      </w:r>
      <w:proofErr w:type="spellStart"/>
      <w:r>
        <w:t>Roozenbeek</w:t>
      </w:r>
      <w:proofErr w:type="spellEnd"/>
      <w:r>
        <w:t xml:space="preserve"> et al. 2022). However, long</w:t>
      </w:r>
      <w:r w:rsidR="00783731">
        <w:noBreakHyphen/>
      </w:r>
      <w:r>
        <w:t>term effectiveness can vary depending on mode of delivery. Specifically, one dose of a brief intervention (e.g.,</w:t>
      </w:r>
      <w:r w:rsidR="00016AC2">
        <w:t> </w:t>
      </w:r>
      <w:r>
        <w:t>delivered via short texts or videos) can have short</w:t>
      </w:r>
      <w:r w:rsidR="00783731">
        <w:noBreakHyphen/>
      </w:r>
      <w:r>
        <w:t xml:space="preserve">lived effects, as individuals may not retain the learned information over time. </w:t>
      </w:r>
    </w:p>
    <w:p w14:paraId="2B50559C" w14:textId="7058C207" w:rsidR="00E11077" w:rsidRPr="0093148C" w:rsidRDefault="00E11077" w:rsidP="76C1AEC2">
      <w:pPr>
        <w:rPr>
          <w:b/>
          <w:bCs/>
        </w:rPr>
      </w:pPr>
      <w:r>
        <w:t xml:space="preserve">Interventions that include boosters to enhance memory (e.g., delivered across multiple sessions with opportunities for practice and feedback) tend to have greater, more sustained impact </w:t>
      </w:r>
      <w:r w:rsidR="009D4284">
        <w:t>(Capewell et al. 2024;</w:t>
      </w:r>
      <w:r>
        <w:t xml:space="preserve"> Maertens et al. 2021; Maertens et al. 202</w:t>
      </w:r>
      <w:r w:rsidR="00021750">
        <w:t>5</w:t>
      </w:r>
      <w:r>
        <w:t>). Gamified interventions that teach players about persuasive manipulation by providing the opportunity to play a manipulator have shown promise in online, community, and education contexts (Axelsson et al.</w:t>
      </w:r>
      <w:r w:rsidR="009D4284">
        <w:t xml:space="preserve"> </w:t>
      </w:r>
      <w:r>
        <w:t xml:space="preserve">2024; Cook et al. 2023). If used with adolescents, games that encourage and reward mischievous actions are best used in an educational context that provides appropriate guidance. </w:t>
      </w:r>
    </w:p>
    <w:p w14:paraId="2740BC2E" w14:textId="55376E11" w:rsidR="00E11077" w:rsidRDefault="00E11077" w:rsidP="229CFE4A">
      <w:r>
        <w:t xml:space="preserve">Potential ancillary impacts of </w:t>
      </w:r>
      <w:proofErr w:type="spellStart"/>
      <w:r>
        <w:t>prebunking</w:t>
      </w:r>
      <w:proofErr w:type="spellEnd"/>
      <w:r>
        <w:t xml:space="preserve"> interventions include boosting individuals’ willingness to speak up about key issues and thus the spread of resilience within personal networks (Ivanov et al. 2012); however, there can also be an increase in general scepticism regarding both true and false information (</w:t>
      </w:r>
      <w:proofErr w:type="spellStart"/>
      <w:r>
        <w:t>Modirrousta</w:t>
      </w:r>
      <w:proofErr w:type="spellEnd"/>
      <w:r>
        <w:t xml:space="preserve">-Galian </w:t>
      </w:r>
      <w:r w:rsidR="009D4284">
        <w:t>and</w:t>
      </w:r>
      <w:r>
        <w:t xml:space="preserve"> Higham 2023; cf. Leder et al. </w:t>
      </w:r>
      <w:r w:rsidRPr="00264163">
        <w:t>2024</w:t>
      </w:r>
      <w:r w:rsidR="00465E78" w:rsidRPr="00264163">
        <w:t xml:space="preserve"> and a recent review </w:t>
      </w:r>
      <w:proofErr w:type="spellStart"/>
      <w:r w:rsidR="00465E78" w:rsidRPr="00264163">
        <w:rPr>
          <w:lang w:val="en-GB"/>
        </w:rPr>
        <w:t>Simchon</w:t>
      </w:r>
      <w:proofErr w:type="spellEnd"/>
      <w:r w:rsidR="00465E78" w:rsidRPr="00264163">
        <w:rPr>
          <w:lang w:val="en-GB"/>
        </w:rPr>
        <w:t xml:space="preserve"> et al. 2025</w:t>
      </w:r>
      <w:r w:rsidR="00465E78" w:rsidRPr="00264163">
        <w:t>).</w:t>
      </w:r>
    </w:p>
    <w:p w14:paraId="72EC1E13" w14:textId="77777777" w:rsidR="003F348B" w:rsidRPr="0093148C" w:rsidRDefault="003F348B" w:rsidP="00333BE7">
      <w:pPr>
        <w:pStyle w:val="NoSpacing"/>
      </w:pPr>
    </w:p>
    <w:p w14:paraId="3D24F74C" w14:textId="39B84D1D" w:rsidR="00E11077" w:rsidRPr="00BD6EDA" w:rsidRDefault="00E11077" w:rsidP="000A1C55">
      <w:pPr>
        <w:pStyle w:val="Calloutbox"/>
        <w:rPr>
          <w:rStyle w:val="Strong"/>
        </w:rPr>
      </w:pPr>
      <w:r w:rsidRPr="00BD6EDA">
        <w:rPr>
          <w:rStyle w:val="Strong"/>
        </w:rPr>
        <w:t xml:space="preserve">Inoculation: </w:t>
      </w:r>
      <w:r w:rsidR="5CEE7D7B" w:rsidRPr="00BD6EDA">
        <w:rPr>
          <w:rStyle w:val="Strong"/>
        </w:rPr>
        <w:t>a</w:t>
      </w:r>
      <w:r w:rsidRPr="00BD6EDA">
        <w:rPr>
          <w:rStyle w:val="Strong"/>
        </w:rPr>
        <w:t>n example</w:t>
      </w:r>
    </w:p>
    <w:p w14:paraId="4E2FE7AA" w14:textId="3FAD9809" w:rsidR="00E11077" w:rsidRPr="0093148C" w:rsidRDefault="00E11077" w:rsidP="000A1C55">
      <w:pPr>
        <w:pStyle w:val="Calloutbox"/>
      </w:pPr>
      <w:r>
        <w:t xml:space="preserve">Explaining how the tobacco industry used advertisements with fake experts to promote their products (e.g., </w:t>
      </w:r>
      <w:r w:rsidR="3173A7A7">
        <w:t>‘</w:t>
      </w:r>
      <w:r>
        <w:t xml:space="preserve">20,679 Physicians say </w:t>
      </w:r>
      <w:r w:rsidR="000822DE">
        <w:t>‘</w:t>
      </w:r>
      <w:r>
        <w:t>Luckies are less irritating</w:t>
      </w:r>
      <w:r w:rsidR="000822DE">
        <w:t>’</w:t>
      </w:r>
      <w:r w:rsidR="6CE7E345">
        <w:t>’</w:t>
      </w:r>
      <w:r>
        <w:t>) has been shown to make people less susceptible to the fake</w:t>
      </w:r>
      <w:r w:rsidR="00783731">
        <w:noBreakHyphen/>
      </w:r>
      <w:r>
        <w:t>experts strategy in the domain of climate</w:t>
      </w:r>
      <w:r w:rsidR="00320E5E">
        <w:t xml:space="preserve"> </w:t>
      </w:r>
      <w:r>
        <w:t xml:space="preserve">change denial </w:t>
      </w:r>
      <w:r w:rsidR="009D4284">
        <w:t>(i.e., the infamous ‘Oregon Petition’ that allegedly involved thousands of scientists signing a statement denying anthropogenic global warming (Cook et al. 2017)</w:t>
      </w:r>
      <w:r>
        <w:t>.</w:t>
      </w:r>
    </w:p>
    <w:p w14:paraId="1ED7426C" w14:textId="721A8CEF" w:rsidR="00E11077" w:rsidRPr="00E11077" w:rsidRDefault="00E11077" w:rsidP="000A1C55">
      <w:pPr>
        <w:pStyle w:val="Calloutbox"/>
      </w:pPr>
      <w:r w:rsidRPr="00E11077">
        <w:rPr>
          <w:noProof/>
        </w:rPr>
        <w:drawing>
          <wp:inline distT="0" distB="0" distL="0" distR="0" wp14:anchorId="00BEF386" wp14:editId="2B333DFF">
            <wp:extent cx="2685059" cy="1728000"/>
            <wp:effectExtent l="0" t="0" r="1270" b="5715"/>
            <wp:docPr id="20596456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45657" name="Picture 1">
                      <a:extLst>
                        <a:ext uri="{C183D7F6-B498-43B3-948B-1728B52AA6E4}">
                          <adec:decorative xmlns:adec="http://schemas.microsoft.com/office/drawing/2017/decorative" val="1"/>
                        </a:ext>
                      </a:extLst>
                    </pic:cNvPr>
                    <pic:cNvPicPr/>
                  </pic:nvPicPr>
                  <pic:blipFill rotWithShape="1">
                    <a:blip r:embed="rId16"/>
                    <a:srcRect l="1280" t="1072" r="1751" b="1010"/>
                    <a:stretch>
                      <a:fillRect/>
                    </a:stretch>
                  </pic:blipFill>
                  <pic:spPr bwMode="auto">
                    <a:xfrm>
                      <a:off x="0" y="0"/>
                      <a:ext cx="2685059" cy="1728000"/>
                    </a:xfrm>
                    <a:prstGeom prst="rect">
                      <a:avLst/>
                    </a:prstGeom>
                    <a:ln>
                      <a:noFill/>
                    </a:ln>
                    <a:extLst>
                      <a:ext uri="{53640926-AAD7-44D8-BBD7-CCE9431645EC}">
                        <a14:shadowObscured xmlns:a14="http://schemas.microsoft.com/office/drawing/2010/main"/>
                      </a:ext>
                    </a:extLst>
                  </pic:spPr>
                </pic:pic>
              </a:graphicData>
            </a:graphic>
          </wp:inline>
        </w:drawing>
      </w:r>
      <w:r w:rsidR="00333BE7">
        <w:t xml:space="preserve"> </w:t>
      </w:r>
      <w:r w:rsidRPr="00E11077">
        <w:rPr>
          <w:noProof/>
        </w:rPr>
        <w:drawing>
          <wp:inline distT="0" distB="0" distL="0" distR="0" wp14:anchorId="319D3095" wp14:editId="51D1A101">
            <wp:extent cx="2995849" cy="1728000"/>
            <wp:effectExtent l="0" t="0" r="0" b="5715"/>
            <wp:docPr id="1879751976" name="Picture 1" descr="A close-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51976" name="Picture 1" descr="A close-up of a paper"/>
                    <pic:cNvPicPr/>
                  </pic:nvPicPr>
                  <pic:blipFill rotWithShape="1">
                    <a:blip r:embed="rId17"/>
                    <a:srcRect l="701" t="782" r="608" b="4037"/>
                    <a:stretch>
                      <a:fillRect/>
                    </a:stretch>
                  </pic:blipFill>
                  <pic:spPr bwMode="auto">
                    <a:xfrm>
                      <a:off x="0" y="0"/>
                      <a:ext cx="2995849" cy="1728000"/>
                    </a:xfrm>
                    <a:prstGeom prst="rect">
                      <a:avLst/>
                    </a:prstGeom>
                    <a:ln>
                      <a:noFill/>
                    </a:ln>
                    <a:extLst>
                      <a:ext uri="{53640926-AAD7-44D8-BBD7-CCE9431645EC}">
                        <a14:shadowObscured xmlns:a14="http://schemas.microsoft.com/office/drawing/2010/main"/>
                      </a:ext>
                    </a:extLst>
                  </pic:spPr>
                </pic:pic>
              </a:graphicData>
            </a:graphic>
          </wp:inline>
        </w:drawing>
      </w:r>
    </w:p>
    <w:p w14:paraId="431BDEA9" w14:textId="77777777" w:rsidR="003B0E86" w:rsidRDefault="003B0E86" w:rsidP="00333BE7">
      <w:pPr>
        <w:pStyle w:val="NoSpacing"/>
      </w:pPr>
    </w:p>
    <w:p w14:paraId="1F39C06E" w14:textId="0F549DA3" w:rsidR="00E11077" w:rsidRPr="00BD6EDA" w:rsidRDefault="00E11077" w:rsidP="00333BE7">
      <w:pPr>
        <w:pStyle w:val="Calloutbox"/>
        <w:keepNext/>
        <w:rPr>
          <w:rStyle w:val="Strong"/>
        </w:rPr>
      </w:pPr>
      <w:proofErr w:type="spellStart"/>
      <w:r w:rsidRPr="00BD6EDA">
        <w:rPr>
          <w:rStyle w:val="Strong"/>
        </w:rPr>
        <w:t>Prebunking</w:t>
      </w:r>
      <w:proofErr w:type="spellEnd"/>
      <w:r w:rsidRPr="00BD6EDA">
        <w:rPr>
          <w:rStyle w:val="Strong"/>
        </w:rPr>
        <w:t xml:space="preserve">: </w:t>
      </w:r>
      <w:r w:rsidR="4EFF161E" w:rsidRPr="00BD6EDA">
        <w:rPr>
          <w:rStyle w:val="Strong"/>
        </w:rPr>
        <w:t>a</w:t>
      </w:r>
      <w:r w:rsidRPr="00BD6EDA">
        <w:rPr>
          <w:rStyle w:val="Strong"/>
        </w:rPr>
        <w:t>n example</w:t>
      </w:r>
    </w:p>
    <w:p w14:paraId="0597F6EF" w14:textId="2226803C" w:rsidR="00B87B6F" w:rsidRPr="00CB7CCA" w:rsidRDefault="00E11077" w:rsidP="00333BE7">
      <w:pPr>
        <w:pStyle w:val="Calloutbox"/>
        <w:keepNext/>
      </w:pPr>
      <w:r w:rsidRPr="00CB7CCA">
        <w:t xml:space="preserve">Through a partnership with Google Jigsaw, researchers have developed </w:t>
      </w:r>
      <w:proofErr w:type="spellStart"/>
      <w:r w:rsidRPr="00CB7CCA">
        <w:t>prebunking</w:t>
      </w:r>
      <w:proofErr w:type="spellEnd"/>
      <w:r w:rsidRPr="00CB7CCA">
        <w:t xml:space="preserve"> videos on manipulative communication techniques. Across several studies, watching these videos increased content discernment and led to better recognition of persuasion techniques both in the lab and in the field </w:t>
      </w:r>
      <w:r w:rsidR="009D4284">
        <w:t>(</w:t>
      </w:r>
      <w:proofErr w:type="spellStart"/>
      <w:r w:rsidR="009D4284" w:rsidRPr="00CB7CCA">
        <w:t>Roozenbeek</w:t>
      </w:r>
      <w:proofErr w:type="spellEnd"/>
      <w:r w:rsidR="009D4284" w:rsidRPr="00CB7CCA">
        <w:t xml:space="preserve"> et al.</w:t>
      </w:r>
      <w:r w:rsidR="009D4284">
        <w:t xml:space="preserve"> </w:t>
      </w:r>
      <w:r w:rsidR="009D4284" w:rsidRPr="00CB7CCA">
        <w:t>2022)</w:t>
      </w:r>
      <w:r w:rsidRPr="00CB7CCA">
        <w:t>.</w:t>
      </w:r>
      <w:bookmarkEnd w:id="50"/>
    </w:p>
    <w:p w14:paraId="31E8E06E" w14:textId="77777777" w:rsidR="00B87B6F" w:rsidRDefault="00E11077" w:rsidP="00333BE7">
      <w:pPr>
        <w:pStyle w:val="Calloutbox"/>
        <w:jc w:val="center"/>
      </w:pPr>
      <w:r w:rsidRPr="00E11077">
        <w:rPr>
          <w:noProof/>
        </w:rPr>
        <w:drawing>
          <wp:inline distT="0" distB="0" distL="0" distR="0" wp14:anchorId="7F76B0CA" wp14:editId="7B68ACB1">
            <wp:extent cx="5590005" cy="2752090"/>
            <wp:effectExtent l="0" t="0" r="0" b="0"/>
            <wp:docPr id="4385084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8487" name="Picture 1">
                      <a:extLst>
                        <a:ext uri="{C183D7F6-B498-43B3-948B-1728B52AA6E4}">
                          <adec:decorative xmlns:adec="http://schemas.microsoft.com/office/drawing/2017/decorative" val="1"/>
                        </a:ext>
                      </a:extLst>
                    </pic:cNvPr>
                    <pic:cNvPicPr/>
                  </pic:nvPicPr>
                  <pic:blipFill rotWithShape="1">
                    <a:blip r:embed="rId18"/>
                    <a:srcRect l="1328" r="1217"/>
                    <a:stretch>
                      <a:fillRect/>
                    </a:stretch>
                  </pic:blipFill>
                  <pic:spPr bwMode="auto">
                    <a:xfrm>
                      <a:off x="0" y="0"/>
                      <a:ext cx="5593943" cy="2754029"/>
                    </a:xfrm>
                    <a:prstGeom prst="rect">
                      <a:avLst/>
                    </a:prstGeom>
                    <a:ln>
                      <a:noFill/>
                    </a:ln>
                    <a:extLst>
                      <a:ext uri="{53640926-AAD7-44D8-BBD7-CCE9431645EC}">
                        <a14:shadowObscured xmlns:a14="http://schemas.microsoft.com/office/drawing/2010/main"/>
                      </a:ext>
                    </a:extLst>
                  </pic:spPr>
                </pic:pic>
              </a:graphicData>
            </a:graphic>
          </wp:inline>
        </w:drawing>
      </w:r>
    </w:p>
    <w:p w14:paraId="4DF698E1" w14:textId="15546C9D" w:rsidR="00E11077" w:rsidRPr="00CB7CCA" w:rsidRDefault="00F30F62" w:rsidP="000A1C55">
      <w:pPr>
        <w:pStyle w:val="Calloutbox"/>
      </w:pPr>
      <w:r>
        <w:t>(Google n.d.</w:t>
      </w:r>
      <w:r w:rsidR="002F13E1">
        <w:t>)</w:t>
      </w:r>
    </w:p>
    <w:p w14:paraId="0F88FA0A" w14:textId="0B765322" w:rsidR="00E11077" w:rsidRPr="00CB7CCA" w:rsidRDefault="00E11077" w:rsidP="007A7BB6">
      <w:pPr>
        <w:pStyle w:val="Heading3Numbered"/>
      </w:pPr>
      <w:bookmarkStart w:id="53" w:name="_Toc218511667"/>
      <w:r>
        <w:t xml:space="preserve">Embedded </w:t>
      </w:r>
      <w:r w:rsidR="00AD265C">
        <w:t>media literacy</w:t>
      </w:r>
      <w:r>
        <w:t xml:space="preserve"> </w:t>
      </w:r>
      <w:r w:rsidR="12C16A64">
        <w:t>t</w:t>
      </w:r>
      <w:r>
        <w:t>ips</w:t>
      </w:r>
      <w:bookmarkEnd w:id="53"/>
      <w:r>
        <w:t xml:space="preserve"> </w:t>
      </w:r>
    </w:p>
    <w:p w14:paraId="14ED0257" w14:textId="5C91C515" w:rsidR="00E11077" w:rsidRPr="00333BE7" w:rsidRDefault="00E11077" w:rsidP="00333BE7">
      <w:pPr>
        <w:pStyle w:val="Quote"/>
      </w:pPr>
      <w:r w:rsidRPr="00333BE7">
        <w:t xml:space="preserve">Short </w:t>
      </w:r>
      <w:r w:rsidR="00AD265C">
        <w:t>media literacy</w:t>
      </w:r>
      <w:r w:rsidRPr="00333BE7">
        <w:t xml:space="preserve"> tips</w:t>
      </w:r>
      <w:r w:rsidR="00AC1C84">
        <w:t xml:space="preserve"> – </w:t>
      </w:r>
      <w:r w:rsidRPr="00333BE7">
        <w:t>provided within the information environment (e.g., in the form of pop</w:t>
      </w:r>
      <w:r w:rsidR="00783731">
        <w:noBreakHyphen/>
      </w:r>
      <w:r w:rsidRPr="00333BE7">
        <w:t>ups)</w:t>
      </w:r>
      <w:r w:rsidR="00AC1C84">
        <w:t xml:space="preserve"> </w:t>
      </w:r>
      <w:r w:rsidR="007E77E9">
        <w:t xml:space="preserve">– </w:t>
      </w:r>
      <w:r w:rsidRPr="00333BE7">
        <w:t>increase detection of misinformation and enhance sharing discernment</w:t>
      </w:r>
    </w:p>
    <w:p w14:paraId="72BE7FBA" w14:textId="732539B9" w:rsidR="00E11077" w:rsidRPr="0093148C" w:rsidRDefault="00E11077" w:rsidP="007A7BB6">
      <w:pPr>
        <w:pStyle w:val="Heading4Numbered"/>
      </w:pPr>
      <w:r w:rsidRPr="2B5225B9">
        <w:t xml:space="preserve">Introduction to the </w:t>
      </w:r>
      <w:r w:rsidR="2AF66AB9" w:rsidRPr="2B5225B9">
        <w:t>i</w:t>
      </w:r>
      <w:r w:rsidRPr="2B5225B9">
        <w:t xml:space="preserve">ssue and </w:t>
      </w:r>
      <w:r w:rsidR="239685D4" w:rsidRPr="2B5225B9">
        <w:t>t</w:t>
      </w:r>
      <w:r w:rsidRPr="2B5225B9">
        <w:t xml:space="preserve">argeted </w:t>
      </w:r>
      <w:r w:rsidR="4026CCF4" w:rsidRPr="2B5225B9">
        <w:t>m</w:t>
      </w:r>
      <w:r w:rsidRPr="2B5225B9">
        <w:t xml:space="preserve">echanisms </w:t>
      </w:r>
    </w:p>
    <w:p w14:paraId="637F79A0" w14:textId="1B5BF2D9" w:rsidR="00E11077" w:rsidRPr="0093148C" w:rsidRDefault="00E11077" w:rsidP="2B5225B9">
      <w:pPr>
        <w:rPr>
          <w:b/>
          <w:bCs/>
        </w:rPr>
      </w:pPr>
      <w:r>
        <w:t xml:space="preserve">Brief </w:t>
      </w:r>
      <w:r w:rsidR="00AD265C">
        <w:t>media literacy</w:t>
      </w:r>
      <w:r>
        <w:t xml:space="preserve"> tips embedded in the digital information environment aim to enhance skills in digital</w:t>
      </w:r>
      <w:r w:rsidR="00783731">
        <w:noBreakHyphen/>
      </w:r>
      <w:r>
        <w:t>media navigation, critical evaluation and decision</w:t>
      </w:r>
      <w:r w:rsidR="00783731">
        <w:noBreakHyphen/>
      </w:r>
      <w:r>
        <w:t>making just prior to information engagement, with the aim of empowering individuals to effectively assess content.</w:t>
      </w:r>
    </w:p>
    <w:p w14:paraId="5AA930D5" w14:textId="1831DC3E" w:rsidR="00E11077" w:rsidRPr="0093148C" w:rsidRDefault="00E11077" w:rsidP="007A7BB6">
      <w:pPr>
        <w:pStyle w:val="Heading4Numbered"/>
      </w:pPr>
      <w:r w:rsidRPr="0CAC8329">
        <w:t>Interventions</w:t>
      </w:r>
    </w:p>
    <w:p w14:paraId="2C69EDE8" w14:textId="0C20E4B5" w:rsidR="00E11077" w:rsidRPr="0093148C" w:rsidRDefault="00E11077" w:rsidP="00425B1D">
      <w:r>
        <w:t>Studies assessing literacy tips typically present them as pop</w:t>
      </w:r>
      <w:r w:rsidR="00783731">
        <w:noBreakHyphen/>
      </w:r>
      <w:r>
        <w:t xml:space="preserve">up messages or short videos before participants evaluate the accuracy of a series of headlines. Many studies have sampled from resources developed by Facebook, with tips being as concise as </w:t>
      </w:r>
      <w:r w:rsidR="5ADC3D20">
        <w:t>‘</w:t>
      </w:r>
      <w:r>
        <w:t>Watch for unusual formatting,</w:t>
      </w:r>
      <w:r w:rsidR="43BFBDB8">
        <w:t>’</w:t>
      </w:r>
      <w:r>
        <w:t xml:space="preserve"> </w:t>
      </w:r>
      <w:r w:rsidR="051612EB">
        <w:t>‘</w:t>
      </w:r>
      <w:r>
        <w:t>Investigate the source,</w:t>
      </w:r>
      <w:r w:rsidR="323E70B1">
        <w:t>’</w:t>
      </w:r>
      <w:r>
        <w:t xml:space="preserve"> </w:t>
      </w:r>
      <w:r w:rsidR="082C3EC8">
        <w:t>‘</w:t>
      </w:r>
      <w:r>
        <w:t xml:space="preserve">Be </w:t>
      </w:r>
      <w:proofErr w:type="spellStart"/>
      <w:r>
        <w:t>skeptical</w:t>
      </w:r>
      <w:proofErr w:type="spellEnd"/>
      <w:r>
        <w:t xml:space="preserve"> of headlines</w:t>
      </w:r>
      <w:r w:rsidR="719FBCC4">
        <w:t>’</w:t>
      </w:r>
      <w:r>
        <w:t xml:space="preserve"> </w:t>
      </w:r>
      <w:r w:rsidR="009D4284">
        <w:t>(Arechar et al. 2023)</w:t>
      </w:r>
      <w:r>
        <w:t xml:space="preserve">. Impact is typically compared to a control group and measured by examining sharing discernment and accuracy ratings </w:t>
      </w:r>
      <w:r w:rsidR="009D4284">
        <w:t>(e.g., Guess et al. 2020)</w:t>
      </w:r>
      <w:r>
        <w:t>.</w:t>
      </w:r>
    </w:p>
    <w:p w14:paraId="1ADE508C" w14:textId="3449F343" w:rsidR="002442E0" w:rsidRPr="0093148C" w:rsidRDefault="00E11077" w:rsidP="007A7BB6">
      <w:pPr>
        <w:pStyle w:val="Heading4Numbered"/>
      </w:pPr>
      <w:r w:rsidRPr="5E9D7F2A">
        <w:t xml:space="preserve">Strength of </w:t>
      </w:r>
      <w:r w:rsidR="4A1ECE15" w:rsidRPr="5E9D7F2A">
        <w:t>e</w:t>
      </w:r>
      <w:r w:rsidRPr="5E9D7F2A">
        <w:t xml:space="preserve">vidence and </w:t>
      </w:r>
      <w:r w:rsidR="7114326C" w:rsidRPr="5E9D7F2A">
        <w:t>l</w:t>
      </w:r>
      <w:r w:rsidRPr="5E9D7F2A">
        <w:t xml:space="preserve">imitations </w:t>
      </w:r>
    </w:p>
    <w:p w14:paraId="76D89DA4" w14:textId="20069074" w:rsidR="002442E0" w:rsidRPr="0093148C" w:rsidRDefault="00E11077" w:rsidP="00425B1D">
      <w:r>
        <w:t xml:space="preserve">Results are generally consistent and hold across several countries </w:t>
      </w:r>
      <w:r w:rsidR="009D4284">
        <w:t>(including Australia, Arechar et al. 2023)</w:t>
      </w:r>
      <w:r>
        <w:t>: literacy tips enhance discernment in sharing intentions (and perceived accuracy) – largely by reducing the intention to share false content. Further</w:t>
      </w:r>
      <w:r w:rsidR="00016AC2">
        <w:t> </w:t>
      </w:r>
      <w:r>
        <w:t>research could better illuminate longer</w:t>
      </w:r>
      <w:r w:rsidR="00783731">
        <w:noBreakHyphen/>
      </w:r>
      <w:r>
        <w:t xml:space="preserve">term impact and the extent to which effects could be amplified by foundational skills built into broader educational curricula. While there is some evidence that the impact of </w:t>
      </w:r>
      <w:r w:rsidR="00AD265C">
        <w:t>media literacy</w:t>
      </w:r>
      <w:r>
        <w:t xml:space="preserve"> tips tends to be small, peo</w:t>
      </w:r>
      <w:r w:rsidRPr="525364BF">
        <w:t xml:space="preserve">ple </w:t>
      </w:r>
      <w:r w:rsidRPr="00CB74D6">
        <w:t>rate</w:t>
      </w:r>
      <w:r w:rsidRPr="00CB74D6">
        <w:rPr>
          <w:sz w:val="21"/>
          <w:szCs w:val="21"/>
        </w:rPr>
        <w:t xml:space="preserve"> </w:t>
      </w:r>
      <w:r>
        <w:t xml:space="preserve">this intervention as helpful </w:t>
      </w:r>
      <w:r w:rsidR="009D4284">
        <w:t>(Arechar et al. 2023)</w:t>
      </w:r>
      <w:r w:rsidR="002442E0">
        <w:t>. The perceived efficacy of interventions is an important area of research, as it may impact public engagement and uptake.</w:t>
      </w:r>
    </w:p>
    <w:p w14:paraId="6F249DE7" w14:textId="58E9B9A2" w:rsidR="002442E0" w:rsidRPr="00BD6EDA" w:rsidRDefault="002442E0" w:rsidP="00CE276A">
      <w:pPr>
        <w:pStyle w:val="Calloutbox"/>
        <w:rPr>
          <w:rStyle w:val="Strong"/>
        </w:rPr>
      </w:pPr>
      <w:r w:rsidRPr="00BD6EDA">
        <w:rPr>
          <w:rStyle w:val="Strong"/>
        </w:rPr>
        <w:t xml:space="preserve">Creating </w:t>
      </w:r>
      <w:r w:rsidR="762CC27D" w:rsidRPr="00BD6EDA">
        <w:rPr>
          <w:rStyle w:val="Strong"/>
        </w:rPr>
        <w:t>f</w:t>
      </w:r>
      <w:r w:rsidRPr="00BD6EDA">
        <w:rPr>
          <w:rStyle w:val="Strong"/>
        </w:rPr>
        <w:t xml:space="preserve">riction in </w:t>
      </w:r>
      <w:r w:rsidR="20C6994D" w:rsidRPr="00BD6EDA">
        <w:rPr>
          <w:rStyle w:val="Strong"/>
        </w:rPr>
        <w:t>i</w:t>
      </w:r>
      <w:r w:rsidRPr="00BD6EDA">
        <w:rPr>
          <w:rStyle w:val="Strong"/>
        </w:rPr>
        <w:t xml:space="preserve">nformation </w:t>
      </w:r>
      <w:r w:rsidR="031BE16E" w:rsidRPr="00BD6EDA">
        <w:rPr>
          <w:rStyle w:val="Strong"/>
        </w:rPr>
        <w:t>e</w:t>
      </w:r>
      <w:r w:rsidRPr="00BD6EDA">
        <w:rPr>
          <w:rStyle w:val="Strong"/>
        </w:rPr>
        <w:t>nvironments</w:t>
      </w:r>
    </w:p>
    <w:p w14:paraId="6ACA9489" w14:textId="678A74F3" w:rsidR="002442E0" w:rsidRPr="00A077BF" w:rsidRDefault="002442E0" w:rsidP="00CE276A">
      <w:pPr>
        <w:pStyle w:val="Calloutbox"/>
        <w:rPr>
          <w:rStyle w:val="IntenseEmphasis"/>
        </w:rPr>
      </w:pPr>
      <w:r w:rsidRPr="00A077BF">
        <w:rPr>
          <w:rStyle w:val="IntenseEmphasis"/>
        </w:rPr>
        <w:t xml:space="preserve">Friction (including </w:t>
      </w:r>
      <w:r w:rsidR="216A78B9" w:rsidRPr="00A077BF">
        <w:rPr>
          <w:rStyle w:val="IntenseEmphasis"/>
        </w:rPr>
        <w:t>a</w:t>
      </w:r>
      <w:r w:rsidRPr="00A077BF">
        <w:rPr>
          <w:rStyle w:val="IntenseEmphasis"/>
        </w:rPr>
        <w:t xml:space="preserve">ccuracy prompts, </w:t>
      </w:r>
      <w:r w:rsidR="201BADF2" w:rsidRPr="00A077BF">
        <w:rPr>
          <w:rStyle w:val="IntenseEmphasis"/>
        </w:rPr>
        <w:t>s</w:t>
      </w:r>
      <w:r w:rsidRPr="00A077BF">
        <w:rPr>
          <w:rStyle w:val="IntenseEmphasis"/>
        </w:rPr>
        <w:t xml:space="preserve">ocial </w:t>
      </w:r>
      <w:r w:rsidR="244ED28D" w:rsidRPr="00A077BF">
        <w:rPr>
          <w:rStyle w:val="IntenseEmphasis"/>
        </w:rPr>
        <w:t>n</w:t>
      </w:r>
      <w:r w:rsidRPr="00A077BF">
        <w:rPr>
          <w:rStyle w:val="IntenseEmphasis"/>
        </w:rPr>
        <w:t xml:space="preserve">orms, </w:t>
      </w:r>
      <w:r w:rsidR="42B714A4" w:rsidRPr="00A077BF">
        <w:rPr>
          <w:rStyle w:val="IntenseEmphasis"/>
        </w:rPr>
        <w:t>t</w:t>
      </w:r>
      <w:r w:rsidRPr="00A077BF">
        <w:rPr>
          <w:rStyle w:val="IntenseEmphasis"/>
        </w:rPr>
        <w:t xml:space="preserve">hinking </w:t>
      </w:r>
      <w:r w:rsidR="2802F413" w:rsidRPr="00A077BF">
        <w:rPr>
          <w:rStyle w:val="IntenseEmphasis"/>
        </w:rPr>
        <w:t>m</w:t>
      </w:r>
      <w:r w:rsidRPr="00A077BF">
        <w:rPr>
          <w:rStyle w:val="IntenseEmphasis"/>
        </w:rPr>
        <w:t>ode/</w:t>
      </w:r>
      <w:r w:rsidR="28BEB901" w:rsidRPr="00A077BF">
        <w:rPr>
          <w:rStyle w:val="IntenseEmphasis"/>
        </w:rPr>
        <w:t>p</w:t>
      </w:r>
      <w:r w:rsidRPr="00A077BF">
        <w:rPr>
          <w:rStyle w:val="IntenseEmphasis"/>
        </w:rPr>
        <w:t xml:space="preserve">ausing, </w:t>
      </w:r>
      <w:r w:rsidR="7006CC3C" w:rsidRPr="00A077BF">
        <w:rPr>
          <w:rStyle w:val="IntenseEmphasis"/>
        </w:rPr>
        <w:t>w</w:t>
      </w:r>
      <w:r w:rsidRPr="00A077BF">
        <w:rPr>
          <w:rStyle w:val="IntenseEmphasis"/>
        </w:rPr>
        <w:t xml:space="preserve">arnings, </w:t>
      </w:r>
      <w:r w:rsidR="0DDDA43D" w:rsidRPr="00A077BF">
        <w:rPr>
          <w:rStyle w:val="IntenseEmphasis"/>
        </w:rPr>
        <w:t>s</w:t>
      </w:r>
      <w:r w:rsidRPr="00A077BF">
        <w:rPr>
          <w:rStyle w:val="IntenseEmphasis"/>
        </w:rPr>
        <w:t xml:space="preserve">ource </w:t>
      </w:r>
      <w:r w:rsidR="3FC564F6" w:rsidRPr="00A077BF">
        <w:rPr>
          <w:rStyle w:val="IntenseEmphasis"/>
        </w:rPr>
        <w:t>c</w:t>
      </w:r>
      <w:r w:rsidRPr="00A077BF">
        <w:rPr>
          <w:rStyle w:val="IntenseEmphasis"/>
        </w:rPr>
        <w:t>ues)</w:t>
      </w:r>
    </w:p>
    <w:p w14:paraId="29FF32B1" w14:textId="43ACDBA1" w:rsidR="002442E0" w:rsidRPr="00FD5368" w:rsidRDefault="002442E0" w:rsidP="00CE276A">
      <w:pPr>
        <w:pStyle w:val="Calloutbox"/>
      </w:pPr>
      <w:r>
        <w:t>These interventions focus on providing prompts</w:t>
      </w:r>
      <w:r w:rsidR="007E77E9">
        <w:t xml:space="preserve"> – </w:t>
      </w:r>
      <w:r>
        <w:t>often deployed momentarily within the information environment</w:t>
      </w:r>
      <w:r w:rsidR="007E77E9">
        <w:t xml:space="preserve"> – </w:t>
      </w:r>
      <w:r>
        <w:t xml:space="preserve">to shift the way people engage with content in online spaces. Briefly drawing people’s attention to the importance of accuracy (Pennycook </w:t>
      </w:r>
      <w:r w:rsidR="009D4284">
        <w:t>and</w:t>
      </w:r>
      <w:r>
        <w:t xml:space="preserve"> Rand 2022; Porter et al. 2024), to social norms (e.g., that most people don’t share misinformation and that it is frowned upon</w:t>
      </w:r>
      <w:r w:rsidR="00F4AEA4">
        <w:t>,</w:t>
      </w:r>
      <w:r>
        <w:t xml:space="preserve"> Fazio et al. 2024; </w:t>
      </w:r>
      <w:hyperlink r:id="rId19">
        <w:proofErr w:type="spellStart"/>
        <w:r>
          <w:t>Prike</w:t>
        </w:r>
        <w:proofErr w:type="spellEnd"/>
      </w:hyperlink>
      <w:r>
        <w:t xml:space="preserve"> at al. 2024), or existing knowledge </w:t>
      </w:r>
      <w:r w:rsidR="00051F06">
        <w:t>(Fazio 2020)</w:t>
      </w:r>
      <w:r>
        <w:t xml:space="preserve"> can enhance sharing discernment. </w:t>
      </w:r>
    </w:p>
    <w:p w14:paraId="78B14214" w14:textId="328F3272" w:rsidR="003F348B" w:rsidRDefault="002442E0" w:rsidP="00CE276A">
      <w:pPr>
        <w:pStyle w:val="Calloutbox"/>
      </w:pPr>
      <w:r>
        <w:t xml:space="preserve">Explicit tagging of content as contested or potentially misleading can enhance sharing and accuracy discernment </w:t>
      </w:r>
      <w:r w:rsidR="00051F06">
        <w:t>(see Fazio et al. 2024)</w:t>
      </w:r>
      <w:r>
        <w:t xml:space="preserve">. While most of these interventions have been studied in controlled lab settings, there is also emerging evidence from field studies </w:t>
      </w:r>
      <w:r w:rsidR="00051F06">
        <w:t>(Lin et al. 2024;</w:t>
      </w:r>
      <w:r>
        <w:t xml:space="preserve"> Pennycook et al. 2021). The use of such interventions relies on collaboration with platforms, and questions remain regarding their longer</w:t>
      </w:r>
      <w:r w:rsidR="00783731">
        <w:noBreakHyphen/>
      </w:r>
      <w:r>
        <w:t xml:space="preserve">term impacts </w:t>
      </w:r>
      <w:r w:rsidR="00051F06">
        <w:t>(Kozyreva et al. 2024)</w:t>
      </w:r>
      <w:r>
        <w:t>.</w:t>
      </w:r>
    </w:p>
    <w:p w14:paraId="445A68CF" w14:textId="77777777" w:rsidR="003F348B" w:rsidRDefault="003F348B">
      <w:pPr>
        <w:spacing w:before="0" w:after="160" w:line="259" w:lineRule="auto"/>
      </w:pPr>
      <w:r>
        <w:br w:type="page"/>
      </w:r>
    </w:p>
    <w:p w14:paraId="4340F246" w14:textId="1BC7C30B" w:rsidR="002442E0" w:rsidRPr="00CB7CCA" w:rsidRDefault="002442E0" w:rsidP="00FD5368">
      <w:pPr>
        <w:pStyle w:val="Heading2Numbered"/>
      </w:pPr>
      <w:bookmarkStart w:id="54" w:name="_Toc204091418"/>
      <w:bookmarkStart w:id="55" w:name="_Toc218511668"/>
      <w:r>
        <w:t xml:space="preserve">Responsive </w:t>
      </w:r>
      <w:r w:rsidR="5EA79825">
        <w:t>i</w:t>
      </w:r>
      <w:r>
        <w:t>nterventions</w:t>
      </w:r>
      <w:bookmarkEnd w:id="54"/>
      <w:bookmarkEnd w:id="55"/>
    </w:p>
    <w:p w14:paraId="733260EF" w14:textId="08A2CA63" w:rsidR="00B87B6F" w:rsidRPr="0093148C" w:rsidRDefault="002442E0" w:rsidP="00425B1D">
      <w:r>
        <w:t xml:space="preserve">These interventions focus on responding to misinformation when it has already been disseminated. They chiefly include </w:t>
      </w:r>
      <w:r w:rsidR="18D5F95E">
        <w:t>‘</w:t>
      </w:r>
      <w:r>
        <w:t>debunking</w:t>
      </w:r>
      <w:r w:rsidR="6CF4E5FC">
        <w:t>’</w:t>
      </w:r>
      <w:r>
        <w:t xml:space="preserve"> messages that expose the falsehood or logical flaws of a misinformation claim by providing structured fact</w:t>
      </w:r>
      <w:r w:rsidR="00783731">
        <w:noBreakHyphen/>
      </w:r>
      <w:r>
        <w:t>checks or corrections. This approach can also include crowdsourcing to identify the presence of low</w:t>
      </w:r>
      <w:r w:rsidR="00783731">
        <w:noBreakHyphen/>
      </w:r>
      <w:r>
        <w:t>quality content (e.g., on social media) and provide context or counter</w:t>
      </w:r>
      <w:r w:rsidR="00783731">
        <w:noBreakHyphen/>
      </w:r>
      <w:r>
        <w:t xml:space="preserve">evidence. </w:t>
      </w:r>
    </w:p>
    <w:p w14:paraId="2D9B4EC2" w14:textId="25E223E3" w:rsidR="00B87B6F" w:rsidRPr="0093148C" w:rsidRDefault="002442E0" w:rsidP="00425B1D">
      <w:r>
        <w:t>Discreditation of a misinformation source can also be a responsive intervention. Responsive interventions can mitigate the impact of misinformation, and are a critical tool if misinformation has been broadly disseminated; the obvious downside is that they are only applied once misinformation is already spread or processed.</w:t>
      </w:r>
    </w:p>
    <w:p w14:paraId="3A292E76" w14:textId="10D0227D" w:rsidR="002442E0" w:rsidRPr="00CB7CCA" w:rsidRDefault="002442E0" w:rsidP="00FD5368">
      <w:pPr>
        <w:pStyle w:val="Heading3Numbered"/>
      </w:pPr>
      <w:bookmarkStart w:id="56" w:name="_Toc218511669"/>
      <w:r w:rsidRPr="00CB7CCA">
        <w:t>Debunking</w:t>
      </w:r>
      <w:bookmarkEnd w:id="56"/>
    </w:p>
    <w:p w14:paraId="58E8315E" w14:textId="1C8390BD" w:rsidR="002442E0" w:rsidRPr="00FD5368" w:rsidRDefault="002442E0" w:rsidP="00FD5368">
      <w:pPr>
        <w:pStyle w:val="Quote"/>
      </w:pPr>
      <w:r w:rsidRPr="00FD5368">
        <w:t>Responding to misinformation by correcting it with a detailed refutation can reduce people’s reliance on it. But efficacy may decay over time and repeated debunking may be necessary</w:t>
      </w:r>
      <w:r w:rsidR="007E77E9">
        <w:t xml:space="preserve"> – </w:t>
      </w:r>
      <w:r w:rsidRPr="00FD5368">
        <w:t>especially if misinformation is widespread</w:t>
      </w:r>
    </w:p>
    <w:p w14:paraId="6984406C" w14:textId="1589D542" w:rsidR="002442E0" w:rsidRPr="0093148C" w:rsidRDefault="002442E0" w:rsidP="007A7BB6">
      <w:pPr>
        <w:pStyle w:val="Heading4Numbered"/>
      </w:pPr>
      <w:r w:rsidRPr="39EEED04">
        <w:t xml:space="preserve">Introduction to the </w:t>
      </w:r>
      <w:r w:rsidR="7F224A94" w:rsidRPr="39EEED04">
        <w:t>i</w:t>
      </w:r>
      <w:r w:rsidRPr="39EEED04">
        <w:t xml:space="preserve">ssue and </w:t>
      </w:r>
      <w:r w:rsidR="48D6B060" w:rsidRPr="39EEED04">
        <w:t>t</w:t>
      </w:r>
      <w:r w:rsidRPr="39EEED04">
        <w:t xml:space="preserve">argeted </w:t>
      </w:r>
      <w:r w:rsidR="2314AD90" w:rsidRPr="2CAC271E">
        <w:t>m</w:t>
      </w:r>
      <w:r w:rsidRPr="2CAC271E">
        <w:t xml:space="preserve">echanisms </w:t>
      </w:r>
    </w:p>
    <w:p w14:paraId="5EBACE72" w14:textId="7CA1A5F0" w:rsidR="002442E0" w:rsidRPr="00200BCB" w:rsidRDefault="002442E0" w:rsidP="00200BCB">
      <w:r w:rsidRPr="00200BCB">
        <w:t xml:space="preserve">Debunking aims to reduce misconceptions that arise from misinformation consumption. Debunking often targets specific claims, but can also focus on the rhetorical tactics used to mislead. Successful debunking supports belief updating and knowledge revision, and may also provide some temporary protection against future encounters with similar misinformation claims, thus acting as an inoculation </w:t>
      </w:r>
      <w:r w:rsidR="00051F06">
        <w:t>(</w:t>
      </w:r>
      <w:r w:rsidR="00051F06" w:rsidRPr="00200BCB">
        <w:t>Tay et al.</w:t>
      </w:r>
      <w:r w:rsidR="00051F06">
        <w:t xml:space="preserve"> </w:t>
      </w:r>
      <w:r w:rsidR="00051F06" w:rsidRPr="00200BCB">
        <w:t>2024)</w:t>
      </w:r>
      <w:r w:rsidRPr="00200BCB">
        <w:t>.</w:t>
      </w:r>
    </w:p>
    <w:p w14:paraId="660B3BA3" w14:textId="5257D687" w:rsidR="00B87B6F" w:rsidRPr="0093148C" w:rsidRDefault="002442E0" w:rsidP="007A7BB6">
      <w:pPr>
        <w:pStyle w:val="Heading4Numbered"/>
      </w:pPr>
      <w:r w:rsidRPr="08631CF8">
        <w:t xml:space="preserve">Interventions </w:t>
      </w:r>
    </w:p>
    <w:p w14:paraId="3D504431" w14:textId="55C8C2A9" w:rsidR="00B87B6F" w:rsidRPr="0093148C" w:rsidRDefault="002442E0" w:rsidP="00425B1D">
      <w:r>
        <w:t>Debunking can use different formats. The most basic application is simply flagging content as false or misleading. Fact</w:t>
      </w:r>
      <w:r w:rsidR="00783731">
        <w:noBreakHyphen/>
      </w:r>
      <w:r>
        <w:t>checking entails an evaluation of evidence in support of a claim, and a classification along a false</w:t>
      </w:r>
      <w:r w:rsidR="00783731">
        <w:noBreakHyphen/>
      </w:r>
      <w:r>
        <w:t>to</w:t>
      </w:r>
      <w:r w:rsidR="00783731">
        <w:noBreakHyphen/>
      </w:r>
      <w:r>
        <w:t xml:space="preserve">true scale. Prototypical debunking is often implemented as a refutation that identifies the false claim and explains why it is wrong, while also stating the relevant fact and reinforcing it by summarising the factual evidence. </w:t>
      </w:r>
    </w:p>
    <w:p w14:paraId="6CA924E8" w14:textId="56CAB80C" w:rsidR="006D4F4F" w:rsidRDefault="6A9B26A9" w:rsidP="00425B1D">
      <w:r>
        <w:t>Logic</w:t>
      </w:r>
      <w:r w:rsidR="00783731">
        <w:noBreakHyphen/>
      </w:r>
      <w:r>
        <w:t xml:space="preserve"> or technique</w:t>
      </w:r>
      <w:r w:rsidR="00783731">
        <w:noBreakHyphen/>
      </w:r>
      <w:r>
        <w:t>based debunking will focus</w:t>
      </w:r>
      <w:r w:rsidRPr="3FBD0323">
        <w:rPr>
          <w:b/>
          <w:bCs/>
        </w:rPr>
        <w:t xml:space="preserve"> </w:t>
      </w:r>
      <w:r>
        <w:t>less on the specific claim content and more on explaining the misleading argumentation strategy or logical flaw applied. Efficacy is usually assessed based on measures of belief or inferences associated with the specific false claim being debunked.</w:t>
      </w:r>
    </w:p>
    <w:p w14:paraId="426C110C" w14:textId="2DE67CD2" w:rsidR="006D4F4F" w:rsidRDefault="6A9B26A9" w:rsidP="007A7BB6">
      <w:pPr>
        <w:pStyle w:val="Heading4Numbered"/>
      </w:pPr>
      <w:r w:rsidRPr="3FBD0323">
        <w:t xml:space="preserve">Strength of </w:t>
      </w:r>
      <w:r w:rsidR="007A7BB6" w:rsidRPr="3FBD0323">
        <w:t>evidence and limitations</w:t>
      </w:r>
    </w:p>
    <w:p w14:paraId="486372CF" w14:textId="3A8F0FF6" w:rsidR="00B87B6F" w:rsidRPr="0093148C" w:rsidRDefault="6A9B26A9" w:rsidP="00425B1D">
      <w:r>
        <w:t xml:space="preserve">A large literature has established the effectiveness of debunking </w:t>
      </w:r>
      <w:r w:rsidR="00051F06">
        <w:t>(Ecker et al. 2022;</w:t>
      </w:r>
      <w:r>
        <w:t xml:space="preserve"> Kozyreva et al. 2024). The specific format of the intervention is less important than the level of detail provided (e.g., simply flagging content as false has little impact; detailed refutations are most effective). </w:t>
      </w:r>
    </w:p>
    <w:p w14:paraId="63D3190A" w14:textId="66DF1F7A" w:rsidR="00424334" w:rsidRPr="00FD5368" w:rsidRDefault="6A9B26A9" w:rsidP="00FD5368">
      <w:r>
        <w:t xml:space="preserve">Debunking is most effective when originating from a source perceived as trustworthy </w:t>
      </w:r>
      <w:r w:rsidR="00051F06">
        <w:t>(Ecker and Antonio 2021)</w:t>
      </w:r>
      <w:r w:rsidR="646AAB7E">
        <w:t>.</w:t>
      </w:r>
      <w:r>
        <w:t xml:space="preserve"> </w:t>
      </w:r>
      <w:r w:rsidR="39C12D16">
        <w:t>T</w:t>
      </w:r>
      <w:r>
        <w:t>his means that community</w:t>
      </w:r>
      <w:r w:rsidR="00783731">
        <w:noBreakHyphen/>
      </w:r>
      <w:r>
        <w:t xml:space="preserve">level debunking should involve trusted community leaders, but also that efforts to improve the trustworthiness of </w:t>
      </w:r>
      <w:r w:rsidR="08183950">
        <w:t>‘</w:t>
      </w:r>
      <w:r>
        <w:t>official</w:t>
      </w:r>
      <w:r w:rsidR="4CAFD327">
        <w:t>’</w:t>
      </w:r>
      <w:r>
        <w:t xml:space="preserve"> sources, especially for marginalised groups, will indirectly boost intervention efficacy. However, debunking is rarely fully effective: it reduces false beliefs without entirely negating the impact of the misinformation. Impact can also be circumscribed (i.e., limited to the specific misconception) and temporary, with beliefs slowly returning back to pre</w:t>
      </w:r>
      <w:r w:rsidR="00783731">
        <w:noBreakHyphen/>
      </w:r>
      <w:r>
        <w:t xml:space="preserve">intervention levels over time </w:t>
      </w:r>
      <w:r w:rsidR="00051F06">
        <w:t>(Swire-Thompson et al. 2023)</w:t>
      </w:r>
      <w:r>
        <w:t xml:space="preserve">. While directly correcting misconceptions tends to be effective (at a group level) even in cases where people are motivated to believe a false claim </w:t>
      </w:r>
      <w:r w:rsidR="00051F06">
        <w:t>(e.g., worldview</w:t>
      </w:r>
      <w:r w:rsidR="00051F06">
        <w:noBreakHyphen/>
        <w:t>consistent misinformation, Ecker et al. 2021)</w:t>
      </w:r>
      <w:r>
        <w:t>, debunking is likely to be less useful for controversial issues and can be ineffective for specific individuals who show motivated resistance.</w:t>
      </w:r>
      <w:r w:rsidR="73072D21">
        <w:t xml:space="preserve"> </w:t>
      </w:r>
      <w:bookmarkStart w:id="57" w:name="_Hlk201317099"/>
    </w:p>
    <w:p w14:paraId="347493CA" w14:textId="1994873B" w:rsidR="00154116" w:rsidRPr="003F348B" w:rsidRDefault="00154116" w:rsidP="00200BCB">
      <w:pPr>
        <w:pStyle w:val="Calloutbox"/>
        <w:keepNext/>
        <w:rPr>
          <w:rStyle w:val="Strong"/>
        </w:rPr>
      </w:pPr>
      <w:r w:rsidRPr="003F348B">
        <w:rPr>
          <w:rStyle w:val="Strong"/>
        </w:rPr>
        <w:t xml:space="preserve">Debunking: </w:t>
      </w:r>
      <w:r w:rsidR="0A717A4C" w:rsidRPr="003F348B">
        <w:rPr>
          <w:rStyle w:val="Strong"/>
        </w:rPr>
        <w:t>a</w:t>
      </w:r>
      <w:r w:rsidRPr="003F348B">
        <w:rPr>
          <w:rStyle w:val="Strong"/>
        </w:rPr>
        <w:t>n example</w:t>
      </w:r>
    </w:p>
    <w:p w14:paraId="490F9C6E" w14:textId="24F5B988" w:rsidR="00154116" w:rsidRPr="0093148C" w:rsidRDefault="00154116" w:rsidP="00200BCB">
      <w:pPr>
        <w:pStyle w:val="Calloutbox"/>
        <w:keepNext/>
      </w:pPr>
      <w:r>
        <w:t xml:space="preserve">Drawing on the </w:t>
      </w:r>
      <w:r w:rsidR="5B347028">
        <w:t>‘</w:t>
      </w:r>
      <w:r>
        <w:t>Oregon Petition</w:t>
      </w:r>
      <w:r w:rsidR="541D19B5">
        <w:t>’</w:t>
      </w:r>
      <w:r>
        <w:t xml:space="preserve"> example used above, the first </w:t>
      </w:r>
      <w:r w:rsidRPr="724F0F06">
        <w:rPr>
          <w:i/>
          <w:iCs/>
        </w:rPr>
        <w:t xml:space="preserve">Debunking Handbook </w:t>
      </w:r>
      <w:r>
        <w:t xml:space="preserve">(2011; see also the updated </w:t>
      </w:r>
      <w:r w:rsidRPr="724F0F06">
        <w:rPr>
          <w:i/>
          <w:iCs/>
        </w:rPr>
        <w:t xml:space="preserve">Debunking Handbook </w:t>
      </w:r>
      <w:r w:rsidRPr="00F666D3">
        <w:t>2020</w:t>
      </w:r>
      <w:r>
        <w:t xml:space="preserve">) highlighted the structure of debunking, importance of visual communication and warning readers that they were going to be exposed to a </w:t>
      </w:r>
      <w:r w:rsidR="3C6FD568">
        <w:t>‘</w:t>
      </w:r>
      <w:r>
        <w:t>myth</w:t>
      </w:r>
      <w:r w:rsidR="4BF716F7">
        <w:t>’</w:t>
      </w:r>
      <w:r>
        <w:t>.</w:t>
      </w:r>
      <w:bookmarkEnd w:id="57"/>
    </w:p>
    <w:p w14:paraId="76F0F103" w14:textId="47983A70" w:rsidR="00200BCB" w:rsidRDefault="002442E0" w:rsidP="003F348B">
      <w:pPr>
        <w:pStyle w:val="Calloutbox"/>
      </w:pPr>
      <w:r>
        <w:rPr>
          <w:noProof/>
        </w:rPr>
        <w:drawing>
          <wp:inline distT="0" distB="0" distL="0" distR="0" wp14:anchorId="6A1CCE88" wp14:editId="025B824E">
            <wp:extent cx="5715635" cy="5695950"/>
            <wp:effectExtent l="0" t="0" r="0" b="0"/>
            <wp:docPr id="775064437" name="Picture 1" descr="A diagram Debunking: An example&#10;Drawing on the “Oregon Petition” example used above, the first Debunking Handbook (2011; see also the updated Debunking Handbook 2020) highlighted the structure of debunking, importance of visual communication and warning readers that they were going to be exposed to a “my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64437" name="Picture 1" descr="A diagram Debunking: An example&#10;Drawing on the “Oregon Petition” example used above, the first Debunking Handbook (2011; see also the updated Debunking Handbook 2020) highlighted the structure of debunking, importance of visual communication and warning readers that they were going to be exposed to a “myth”.&#10;"/>
                    <pic:cNvPicPr/>
                  </pic:nvPicPr>
                  <pic:blipFill rotWithShape="1">
                    <a:blip r:embed="rId20"/>
                    <a:srcRect r="1617"/>
                    <a:stretch/>
                  </pic:blipFill>
                  <pic:spPr bwMode="auto">
                    <a:xfrm>
                      <a:off x="0" y="0"/>
                      <a:ext cx="5716785" cy="5697096"/>
                    </a:xfrm>
                    <a:prstGeom prst="rect">
                      <a:avLst/>
                    </a:prstGeom>
                    <a:ln>
                      <a:noFill/>
                    </a:ln>
                    <a:extLst>
                      <a:ext uri="{53640926-AAD7-44D8-BBD7-CCE9431645EC}">
                        <a14:shadowObscured xmlns:a14="http://schemas.microsoft.com/office/drawing/2010/main"/>
                      </a:ext>
                    </a:extLst>
                  </pic:spPr>
                </pic:pic>
              </a:graphicData>
            </a:graphic>
          </wp:inline>
        </w:drawing>
      </w:r>
      <w:r w:rsidR="00200BCB">
        <w:br w:type="page"/>
      </w:r>
    </w:p>
    <w:p w14:paraId="145B041E" w14:textId="7813FC96" w:rsidR="002442E0" w:rsidRPr="00620431" w:rsidRDefault="002442E0" w:rsidP="00FD5368">
      <w:pPr>
        <w:pStyle w:val="Heading3Numbered"/>
      </w:pPr>
      <w:bookmarkStart w:id="58" w:name="_Toc218511670"/>
      <w:r w:rsidRPr="00620431">
        <w:t>Source discreditation</w:t>
      </w:r>
      <w:bookmarkEnd w:id="58"/>
    </w:p>
    <w:p w14:paraId="18341C04" w14:textId="5DBD2D0D" w:rsidR="002442E0" w:rsidRPr="0093148C" w:rsidRDefault="002442E0" w:rsidP="00FD5368">
      <w:pPr>
        <w:pStyle w:val="Heading4Numbered"/>
      </w:pPr>
      <w:r w:rsidRPr="0093148C">
        <w:t xml:space="preserve">Introduction to the </w:t>
      </w:r>
      <w:r w:rsidR="4116B78E" w:rsidRPr="4848FDFC">
        <w:rPr>
          <w:bCs/>
        </w:rPr>
        <w:t>i</w:t>
      </w:r>
      <w:r w:rsidRPr="0093148C">
        <w:t xml:space="preserve">ssue and </w:t>
      </w:r>
      <w:r w:rsidR="0EB6FC64" w:rsidRPr="4848FDFC">
        <w:rPr>
          <w:bCs/>
        </w:rPr>
        <w:t>t</w:t>
      </w:r>
      <w:r w:rsidRPr="4848FDFC">
        <w:rPr>
          <w:bCs/>
        </w:rPr>
        <w:t xml:space="preserve">argeted </w:t>
      </w:r>
      <w:r w:rsidR="399722BB" w:rsidRPr="4848FDFC">
        <w:rPr>
          <w:bCs/>
        </w:rPr>
        <w:t>m</w:t>
      </w:r>
      <w:r w:rsidRPr="4848FDFC">
        <w:rPr>
          <w:bCs/>
        </w:rPr>
        <w:t>echanisms</w:t>
      </w:r>
      <w:r>
        <w:t xml:space="preserve"> </w:t>
      </w:r>
    </w:p>
    <w:p w14:paraId="02B9A87A" w14:textId="66AB7791" w:rsidR="002442E0" w:rsidRPr="0093148C" w:rsidRDefault="002442E0" w:rsidP="00425B1D">
      <w:r>
        <w:t xml:space="preserve">Discrediting a source of misinformation can be used as a standalone intervention or in combination with debunking, such that both the message and the messenger are targeted </w:t>
      </w:r>
      <w:r w:rsidR="00051F06">
        <w:t>(Ecker et al. 2024)</w:t>
      </w:r>
      <w:r>
        <w:t>. Care should be taken not to engage in ad</w:t>
      </w:r>
      <w:r w:rsidR="00783731">
        <w:noBreakHyphen/>
      </w:r>
      <w:r>
        <w:t>hominem attacks, limiting this approach mainly to cases where clear evidence exists of deception (e.g., disinformation).</w:t>
      </w:r>
    </w:p>
    <w:p w14:paraId="18AC1C26" w14:textId="65D80EE0" w:rsidR="002442E0" w:rsidRPr="0093148C" w:rsidRDefault="002442E0" w:rsidP="00FD5368">
      <w:pPr>
        <w:pStyle w:val="Heading4Numbered"/>
        <w:rPr>
          <w:bCs/>
        </w:rPr>
      </w:pPr>
      <w:r w:rsidRPr="0093148C">
        <w:t>Interventions</w:t>
      </w:r>
    </w:p>
    <w:p w14:paraId="2780FEED" w14:textId="79AF2412" w:rsidR="002442E0" w:rsidRPr="0093148C" w:rsidRDefault="002442E0" w:rsidP="260A5903">
      <w:pPr>
        <w:rPr>
          <w:b/>
        </w:rPr>
      </w:pPr>
      <w:r>
        <w:t xml:space="preserve">Sources can be discredited by highlighting a clear lack of relevant expertise, significant conflicts of interest, a track record of misleading communication, and evidence of intentional </w:t>
      </w:r>
      <w:r w:rsidRPr="00393F0C">
        <w:t xml:space="preserve">deception </w:t>
      </w:r>
      <w:r w:rsidR="00051F06" w:rsidRPr="00393F0C">
        <w:t>(Lewandowsky et al. 2024</w:t>
      </w:r>
      <w:r w:rsidR="00393F0C" w:rsidRPr="00393F0C">
        <w:t>b</w:t>
      </w:r>
      <w:r w:rsidR="00051F06" w:rsidRPr="00393F0C">
        <w:t>)</w:t>
      </w:r>
      <w:r w:rsidRPr="00393F0C">
        <w:t>.</w:t>
      </w:r>
    </w:p>
    <w:p w14:paraId="10A15F86" w14:textId="329226F1" w:rsidR="002442E0" w:rsidRPr="0093148C" w:rsidRDefault="002442E0" w:rsidP="00FD5368">
      <w:pPr>
        <w:pStyle w:val="Heading4Numbered"/>
      </w:pPr>
      <w:r w:rsidRPr="69F0D3B0">
        <w:t xml:space="preserve">Strength of </w:t>
      </w:r>
      <w:r w:rsidR="6A05BF34" w:rsidRPr="69F0D3B0">
        <w:t>e</w:t>
      </w:r>
      <w:r w:rsidRPr="69F0D3B0">
        <w:t xml:space="preserve">vidence and </w:t>
      </w:r>
      <w:r w:rsidR="4ADE4BEF" w:rsidRPr="69F0D3B0">
        <w:t>l</w:t>
      </w:r>
      <w:r w:rsidRPr="69F0D3B0">
        <w:t xml:space="preserve">imitations </w:t>
      </w:r>
    </w:p>
    <w:p w14:paraId="1AC0A331" w14:textId="21229091" w:rsidR="002442E0" w:rsidRPr="0093148C" w:rsidRDefault="002442E0" w:rsidP="69F0D3B0">
      <w:pPr>
        <w:rPr>
          <w:b/>
          <w:bCs/>
        </w:rPr>
      </w:pPr>
      <w:r>
        <w:t xml:space="preserve">Source discreditation has primarily been studied in combination with other interventions; only few studies have tested discreditation effects on misinformation belief in isolation, so evidence of impact remains tentative. Possible negative side effects such as </w:t>
      </w:r>
      <w:proofErr w:type="spellStart"/>
      <w:r>
        <w:t>antagonisation</w:t>
      </w:r>
      <w:proofErr w:type="spellEnd"/>
      <w:r>
        <w:t xml:space="preserve"> need to be considered.</w:t>
      </w:r>
    </w:p>
    <w:p w14:paraId="6B415827" w14:textId="48773E5E" w:rsidR="00620431" w:rsidRDefault="002442E0" w:rsidP="00FD5368">
      <w:pPr>
        <w:pStyle w:val="Heading3Numbered"/>
      </w:pPr>
      <w:bookmarkStart w:id="59" w:name="_Toc218511671"/>
      <w:r w:rsidRPr="00620431">
        <w:t>Crowdsourcing</w:t>
      </w:r>
      <w:bookmarkEnd w:id="59"/>
    </w:p>
    <w:p w14:paraId="44DFC9B4" w14:textId="77777777" w:rsidR="002442E0" w:rsidRPr="007A7BB6" w:rsidRDefault="002442E0" w:rsidP="007A7BB6">
      <w:pPr>
        <w:pStyle w:val="Quote"/>
      </w:pPr>
      <w:r w:rsidRPr="007A7BB6">
        <w:t>Aggregate trust indicators or added context from consumers can help identify misinformation in the information environment</w:t>
      </w:r>
    </w:p>
    <w:p w14:paraId="0D79A91B" w14:textId="0AD79368" w:rsidR="002442E0" w:rsidRPr="0093148C" w:rsidRDefault="002442E0" w:rsidP="00FD5368">
      <w:pPr>
        <w:pStyle w:val="Heading4Numbered"/>
      </w:pPr>
      <w:r w:rsidRPr="69F0D3B0">
        <w:t xml:space="preserve">Introduction to the </w:t>
      </w:r>
      <w:r w:rsidR="3E02ED65" w:rsidRPr="69F0D3B0">
        <w:t>i</w:t>
      </w:r>
      <w:r w:rsidRPr="69F0D3B0">
        <w:t xml:space="preserve">ssue and </w:t>
      </w:r>
      <w:r w:rsidR="32B7BB00" w:rsidRPr="69F0D3B0">
        <w:t>t</w:t>
      </w:r>
      <w:r w:rsidRPr="69F0D3B0">
        <w:t xml:space="preserve">argeted </w:t>
      </w:r>
      <w:r w:rsidR="38DEA2D2" w:rsidRPr="69F0D3B0">
        <w:t>m</w:t>
      </w:r>
      <w:r w:rsidRPr="69F0D3B0">
        <w:t xml:space="preserve">echanisms </w:t>
      </w:r>
    </w:p>
    <w:p w14:paraId="5849C9D8" w14:textId="2216D9D8" w:rsidR="002442E0" w:rsidRPr="0093148C" w:rsidRDefault="002442E0" w:rsidP="69F0D3B0">
      <w:pPr>
        <w:rPr>
          <w:b/>
          <w:bCs/>
        </w:rPr>
      </w:pPr>
      <w:r>
        <w:t>Crowdsourcing as a responsive intervention refers to the elicitation of peer guidance from content consumers themselves, by enabling them to provide additional relevant information or context.</w:t>
      </w:r>
    </w:p>
    <w:p w14:paraId="6E5F436D" w14:textId="680B95F6" w:rsidR="002442E0" w:rsidRPr="0093148C" w:rsidRDefault="002442E0" w:rsidP="00FD5368">
      <w:pPr>
        <w:pStyle w:val="Heading4Numbered"/>
      </w:pPr>
      <w:r w:rsidRPr="69F0D3B0">
        <w:t>Interventions</w:t>
      </w:r>
    </w:p>
    <w:p w14:paraId="21D139F0" w14:textId="5CA3D1EE" w:rsidR="002442E0" w:rsidRPr="007A7BB6" w:rsidRDefault="002442E0" w:rsidP="69F0D3B0">
      <w:r>
        <w:t>The original crowdsourced knowledge community, Wikipedia, has become a key global resource in the fight against unreliable content. Input from end</w:t>
      </w:r>
      <w:r w:rsidR="00783731">
        <w:noBreakHyphen/>
      </w:r>
      <w:r>
        <w:t>users can be useful in identifying misleading information and can thus contribute to fact</w:t>
      </w:r>
      <w:r w:rsidR="00783731">
        <w:noBreakHyphen/>
      </w:r>
      <w:r>
        <w:t xml:space="preserve">checking efforts. Such an approach has been implemented on Twitter/X in the form of </w:t>
      </w:r>
      <w:r w:rsidR="2E375728">
        <w:t>‘</w:t>
      </w:r>
      <w:r>
        <w:t>Community Notes</w:t>
      </w:r>
      <w:r w:rsidR="6932D917">
        <w:t>’</w:t>
      </w:r>
      <w:r>
        <w:t>, a community</w:t>
      </w:r>
      <w:r w:rsidR="00783731">
        <w:noBreakHyphen/>
      </w:r>
      <w:r>
        <w:t>driven content moderation feature that allows users to attach or vote for fact</w:t>
      </w:r>
      <w:r w:rsidR="00783731">
        <w:noBreakHyphen/>
      </w:r>
      <w:r>
        <w:t>checks or provide additional context under potentially misleading posts.</w:t>
      </w:r>
    </w:p>
    <w:p w14:paraId="6E62D365" w14:textId="2EE4C932" w:rsidR="002442E0" w:rsidRDefault="002442E0" w:rsidP="00FD5368">
      <w:pPr>
        <w:pStyle w:val="Heading4Numbered"/>
      </w:pPr>
      <w:r w:rsidRPr="69F0D3B0">
        <w:t xml:space="preserve">Strength of </w:t>
      </w:r>
      <w:r w:rsidR="4F8883FC" w:rsidRPr="31DE303C">
        <w:t>e</w:t>
      </w:r>
      <w:r w:rsidRPr="69F0D3B0">
        <w:t xml:space="preserve">vidence and </w:t>
      </w:r>
      <w:r w:rsidR="0A744978" w:rsidRPr="31DE303C">
        <w:t>l</w:t>
      </w:r>
      <w:r w:rsidRPr="69F0D3B0">
        <w:t xml:space="preserve">imitations </w:t>
      </w:r>
    </w:p>
    <w:p w14:paraId="7910B0AD" w14:textId="2502541D" w:rsidR="002442E0" w:rsidRDefault="002442E0" w:rsidP="00425B1D">
      <w:r w:rsidRPr="0093148C">
        <w:t xml:space="preserve">Experimental research has shown the aggregation of individuals’ assessments can provide accurate classification of true and misleading headlines across countries including Australia </w:t>
      </w:r>
      <w:r w:rsidR="00051F06">
        <w:t>(</w:t>
      </w:r>
      <w:r w:rsidR="00051F06" w:rsidRPr="0093148C">
        <w:t>Allen et al.</w:t>
      </w:r>
      <w:r w:rsidR="00051F06">
        <w:t xml:space="preserve"> </w:t>
      </w:r>
      <w:r w:rsidR="00051F06" w:rsidRPr="0093148C">
        <w:t>2021;</w:t>
      </w:r>
      <w:r w:rsidRPr="0093148C">
        <w:t xml:space="preserve"> Arechar et al. 2023). Implemented systematically and </w:t>
      </w:r>
      <w:r w:rsidRPr="0093148C">
        <w:rPr>
          <w:spacing w:val="-2"/>
        </w:rPr>
        <w:t xml:space="preserve">with appropriate editorial guardrails, crowdsourcing can be used to build substantive bodies of trusted information. </w:t>
      </w:r>
    </w:p>
    <w:p w14:paraId="72A87730" w14:textId="7A70B275" w:rsidR="002442E0" w:rsidRDefault="002442E0" w:rsidP="00425B1D">
      <w:pPr>
        <w:rPr>
          <w:spacing w:val="-2"/>
        </w:rPr>
      </w:pPr>
      <w:r w:rsidRPr="0093148C">
        <w:rPr>
          <w:spacing w:val="-2"/>
        </w:rPr>
        <w:t xml:space="preserve">For example, Wikipedia articles must conform to editorial standards such as reliable sources and a neutral point of view, and the editorial process is transparent and auditable. Medical Wikipedia content has been found to be of equal quality to professional publications </w:t>
      </w:r>
      <w:r w:rsidR="00051F06">
        <w:rPr>
          <w:spacing w:val="-2"/>
        </w:rPr>
        <w:t>(</w:t>
      </w:r>
      <w:r w:rsidR="00051F06" w:rsidRPr="0093148C">
        <w:rPr>
          <w:spacing w:val="-2"/>
        </w:rPr>
        <w:t>Thomas et al.</w:t>
      </w:r>
      <w:r w:rsidR="00051F06">
        <w:rPr>
          <w:spacing w:val="-2"/>
        </w:rPr>
        <w:t xml:space="preserve"> </w:t>
      </w:r>
      <w:r w:rsidR="00051F06" w:rsidRPr="0093148C">
        <w:rPr>
          <w:spacing w:val="-2"/>
        </w:rPr>
        <w:t>2013;</w:t>
      </w:r>
      <w:r w:rsidRPr="0093148C">
        <w:rPr>
          <w:spacing w:val="-2"/>
        </w:rPr>
        <w:t xml:space="preserve"> London et al. 2019) and proved resistant to</w:t>
      </w:r>
      <w:r w:rsidR="00224B7E">
        <w:rPr>
          <w:spacing w:val="-2"/>
        </w:rPr>
        <w:t> </w:t>
      </w:r>
      <w:r w:rsidRPr="0093148C">
        <w:rPr>
          <w:spacing w:val="-2"/>
        </w:rPr>
        <w:t>COVID</w:t>
      </w:r>
      <w:r w:rsidR="00783731">
        <w:rPr>
          <w:spacing w:val="-2"/>
        </w:rPr>
        <w:noBreakHyphen/>
      </w:r>
      <w:r w:rsidRPr="0093148C">
        <w:rPr>
          <w:spacing w:val="-2"/>
        </w:rPr>
        <w:t xml:space="preserve">19 misinformation </w:t>
      </w:r>
      <w:r w:rsidR="00051F06">
        <w:rPr>
          <w:spacing w:val="-2"/>
        </w:rPr>
        <w:t>(</w:t>
      </w:r>
      <w:proofErr w:type="spellStart"/>
      <w:r w:rsidR="00051F06" w:rsidRPr="0093148C">
        <w:rPr>
          <w:spacing w:val="-2"/>
        </w:rPr>
        <w:t>Avieson</w:t>
      </w:r>
      <w:proofErr w:type="spellEnd"/>
      <w:r w:rsidR="00051F06">
        <w:rPr>
          <w:spacing w:val="-2"/>
        </w:rPr>
        <w:t xml:space="preserve"> </w:t>
      </w:r>
      <w:r w:rsidR="00051F06" w:rsidRPr="0093148C">
        <w:rPr>
          <w:spacing w:val="-2"/>
        </w:rPr>
        <w:t>2022)</w:t>
      </w:r>
      <w:r w:rsidRPr="0093148C">
        <w:rPr>
          <w:spacing w:val="-2"/>
        </w:rPr>
        <w:t>. However, foreign</w:t>
      </w:r>
      <w:r w:rsidR="00783731">
        <w:rPr>
          <w:spacing w:val="-2"/>
        </w:rPr>
        <w:noBreakHyphen/>
      </w:r>
      <w:r w:rsidRPr="0093148C">
        <w:rPr>
          <w:spacing w:val="-2"/>
        </w:rPr>
        <w:t xml:space="preserve">influence operations </w:t>
      </w:r>
      <w:r w:rsidR="00051F06">
        <w:rPr>
          <w:spacing w:val="-2"/>
        </w:rPr>
        <w:t>(</w:t>
      </w:r>
      <w:r w:rsidR="00051F06" w:rsidRPr="0093148C">
        <w:rPr>
          <w:spacing w:val="-2"/>
        </w:rPr>
        <w:t>Miller et al.</w:t>
      </w:r>
      <w:r w:rsidR="00051F06">
        <w:rPr>
          <w:spacing w:val="-2"/>
        </w:rPr>
        <w:t xml:space="preserve"> </w:t>
      </w:r>
      <w:r w:rsidR="00051F06" w:rsidRPr="0093148C">
        <w:rPr>
          <w:spacing w:val="-2"/>
        </w:rPr>
        <w:t>2022)</w:t>
      </w:r>
      <w:r w:rsidRPr="0093148C">
        <w:rPr>
          <w:spacing w:val="-2"/>
        </w:rPr>
        <w:t xml:space="preserve"> and toxicity towards editors </w:t>
      </w:r>
      <w:r w:rsidR="00051F06">
        <w:rPr>
          <w:spacing w:val="-2"/>
        </w:rPr>
        <w:t>(</w:t>
      </w:r>
      <w:r w:rsidR="00051F06" w:rsidRPr="0093148C">
        <w:rPr>
          <w:spacing w:val="-2"/>
        </w:rPr>
        <w:t>Smirnov et al.</w:t>
      </w:r>
      <w:r w:rsidR="00051F06">
        <w:rPr>
          <w:spacing w:val="-2"/>
        </w:rPr>
        <w:t xml:space="preserve"> </w:t>
      </w:r>
      <w:r w:rsidR="00051F06" w:rsidRPr="0093148C">
        <w:rPr>
          <w:spacing w:val="-2"/>
        </w:rPr>
        <w:t>2023)</w:t>
      </w:r>
      <w:r w:rsidRPr="0093148C">
        <w:rPr>
          <w:spacing w:val="-2"/>
        </w:rPr>
        <w:t xml:space="preserve"> are of concern. Also,</w:t>
      </w:r>
      <w:r w:rsidR="00224B7E">
        <w:rPr>
          <w:spacing w:val="-2"/>
        </w:rPr>
        <w:t> </w:t>
      </w:r>
      <w:r w:rsidRPr="0093148C">
        <w:rPr>
          <w:spacing w:val="-2"/>
        </w:rPr>
        <w:t xml:space="preserve">evidence for crowdsourcing’s effectiveness, when implemented in the field on social media, remains mixed </w:t>
      </w:r>
      <w:r w:rsidR="00051F06">
        <w:rPr>
          <w:spacing w:val="-2"/>
        </w:rPr>
        <w:t>(</w:t>
      </w:r>
      <w:r w:rsidR="00051F06" w:rsidRPr="0093148C">
        <w:rPr>
          <w:spacing w:val="-2"/>
        </w:rPr>
        <w:t>Allen et al.</w:t>
      </w:r>
      <w:r w:rsidR="00051F06">
        <w:rPr>
          <w:spacing w:val="-2"/>
        </w:rPr>
        <w:t xml:space="preserve"> </w:t>
      </w:r>
      <w:r w:rsidR="00051F06" w:rsidRPr="0093148C">
        <w:rPr>
          <w:spacing w:val="-2"/>
        </w:rPr>
        <w:t>2022;</w:t>
      </w:r>
      <w:r w:rsidRPr="0093148C">
        <w:rPr>
          <w:spacing w:val="-2"/>
        </w:rPr>
        <w:t xml:space="preserve"> Martel et al. 202</w:t>
      </w:r>
      <w:r w:rsidR="00F81DD1">
        <w:rPr>
          <w:spacing w:val="-2"/>
        </w:rPr>
        <w:t>4</w:t>
      </w:r>
      <w:r w:rsidRPr="0093148C">
        <w:rPr>
          <w:spacing w:val="-2"/>
        </w:rPr>
        <w:t xml:space="preserve">; Wirtschafter </w:t>
      </w:r>
      <w:r w:rsidR="00051F06">
        <w:rPr>
          <w:spacing w:val="-2"/>
        </w:rPr>
        <w:t>and</w:t>
      </w:r>
      <w:r w:rsidRPr="0093148C">
        <w:rPr>
          <w:spacing w:val="-2"/>
        </w:rPr>
        <w:t xml:space="preserve"> Majumder 2023).</w:t>
      </w:r>
    </w:p>
    <w:p w14:paraId="1EDC0D05" w14:textId="460A300F" w:rsidR="002442E0" w:rsidRPr="00A077BF" w:rsidRDefault="002442E0" w:rsidP="00A077BF">
      <w:pPr>
        <w:pStyle w:val="Calloutbox"/>
        <w:rPr>
          <w:rStyle w:val="Strong"/>
        </w:rPr>
      </w:pPr>
      <w:r w:rsidRPr="00A077BF">
        <w:rPr>
          <w:rStyle w:val="Strong"/>
        </w:rPr>
        <w:t>Supply</w:t>
      </w:r>
      <w:r w:rsidR="00783731">
        <w:rPr>
          <w:rStyle w:val="Strong"/>
        </w:rPr>
        <w:noBreakHyphen/>
      </w:r>
      <w:r w:rsidRPr="00A077BF">
        <w:rPr>
          <w:rStyle w:val="Strong"/>
        </w:rPr>
        <w:t xml:space="preserve">side </w:t>
      </w:r>
      <w:r w:rsidR="1E12866F" w:rsidRPr="00A077BF">
        <w:rPr>
          <w:rStyle w:val="Strong"/>
        </w:rPr>
        <w:t>r</w:t>
      </w:r>
      <w:r w:rsidRPr="00A077BF">
        <w:rPr>
          <w:rStyle w:val="Strong"/>
        </w:rPr>
        <w:t xml:space="preserve">esponses to </w:t>
      </w:r>
      <w:r w:rsidR="725B32EE" w:rsidRPr="00A077BF">
        <w:rPr>
          <w:rStyle w:val="Strong"/>
        </w:rPr>
        <w:t>m</w:t>
      </w:r>
      <w:r w:rsidRPr="00A077BF">
        <w:rPr>
          <w:rStyle w:val="Strong"/>
        </w:rPr>
        <w:t>isinformation</w:t>
      </w:r>
    </w:p>
    <w:p w14:paraId="7AEC4996" w14:textId="77DF67CE" w:rsidR="00016AC2" w:rsidRDefault="002442E0" w:rsidP="00A077BF">
      <w:pPr>
        <w:pStyle w:val="Calloutbox"/>
      </w:pPr>
      <w:r w:rsidRPr="0093148C">
        <w:t>Supply</w:t>
      </w:r>
      <w:r w:rsidR="00783731">
        <w:noBreakHyphen/>
      </w:r>
      <w:r w:rsidRPr="0093148C">
        <w:t xml:space="preserve">side interventions to reduce circulation (e.g., through regulation or platform policies) should be considered especially for harmful disinformation. Despite the obvious risks of censorship, there is preliminary evidence from the U.S. showing that the public values freedom from manipulation and is therefore in support of such interventions in appropriate contexts </w:t>
      </w:r>
      <w:r w:rsidR="00051F06">
        <w:t>(</w:t>
      </w:r>
      <w:r w:rsidR="00051F06" w:rsidRPr="0093148C">
        <w:t>Kozyreva et al.</w:t>
      </w:r>
      <w:r w:rsidR="00051F06">
        <w:t xml:space="preserve"> </w:t>
      </w:r>
      <w:r w:rsidR="00051F06" w:rsidRPr="0093148C">
        <w:t>2023)</w:t>
      </w:r>
      <w:r w:rsidRPr="0093148C">
        <w:t>. Reducing disinformation circulation can indirectly support consumer resilience by creating safer spaces for engagement and counteracting withdrawal from public debate</w:t>
      </w:r>
      <w:r w:rsidRPr="00016AC2">
        <w:t xml:space="preserve">. </w:t>
      </w:r>
    </w:p>
    <w:p w14:paraId="11359114" w14:textId="77777777" w:rsidR="00016AC2" w:rsidRDefault="00016AC2">
      <w:pPr>
        <w:spacing w:before="0" w:after="160" w:line="259" w:lineRule="auto"/>
      </w:pPr>
      <w:r>
        <w:br w:type="page"/>
      </w:r>
    </w:p>
    <w:p w14:paraId="26776E16" w14:textId="1A79EEFC" w:rsidR="00E534F9" w:rsidRPr="00FD5368" w:rsidRDefault="002442E0" w:rsidP="00FD5368">
      <w:pPr>
        <w:pStyle w:val="Heading2Numbered"/>
      </w:pPr>
      <w:bookmarkStart w:id="60" w:name="_Toc204091419"/>
      <w:bookmarkStart w:id="61" w:name="_Toc218511672"/>
      <w:r w:rsidRPr="00FD5368">
        <w:t>Assessing interventions</w:t>
      </w:r>
      <w:bookmarkEnd w:id="60"/>
      <w:bookmarkEnd w:id="61"/>
      <w:r w:rsidRPr="00FD5368">
        <w:t xml:space="preserve"> </w:t>
      </w:r>
    </w:p>
    <w:p w14:paraId="4EC71037" w14:textId="38F50644" w:rsidR="00E534F9" w:rsidRDefault="00E534F9" w:rsidP="00FD5368">
      <w:pPr>
        <w:pStyle w:val="Heading3Numbered"/>
      </w:pPr>
      <w:bookmarkStart w:id="62" w:name="_Toc218511673"/>
      <w:r>
        <w:t xml:space="preserve">Intervention </w:t>
      </w:r>
      <w:r w:rsidR="22A414EA">
        <w:t>d</w:t>
      </w:r>
      <w:r>
        <w:t>eployment</w:t>
      </w:r>
      <w:bookmarkEnd w:id="62"/>
    </w:p>
    <w:p w14:paraId="45C60019" w14:textId="1EF696B7" w:rsidR="002442E0" w:rsidRPr="0093148C" w:rsidRDefault="002442E0" w:rsidP="00425B1D">
      <w:r>
        <w:t>Increasing the information resilience of Australians will require a multi</w:t>
      </w:r>
      <w:r w:rsidR="00783731">
        <w:noBreakHyphen/>
      </w:r>
      <w:r>
        <w:t>pronged approach. Current interventions build on foundational skills that can be acquired through education, making curricular and community workshops a critical scaffold. The</w:t>
      </w:r>
      <w:r w:rsidR="007A7BB6">
        <w:t> </w:t>
      </w:r>
      <w:r>
        <w:t>broad literature on misinformation reviewed here converges on the key psychological and education targets (</w:t>
      </w:r>
      <w:r w:rsidR="2A8B37B9">
        <w:t>‘</w:t>
      </w:r>
      <w:r>
        <w:t>what</w:t>
      </w:r>
      <w:r w:rsidR="44981C13">
        <w:t>’</w:t>
      </w:r>
      <w:r>
        <w:t>) as displayed in Table 1, articulates the impactful interventions (</w:t>
      </w:r>
      <w:r w:rsidR="44F03BA9">
        <w:t>‘</w:t>
      </w:r>
      <w:r>
        <w:t>how</w:t>
      </w:r>
      <w:r w:rsidR="76A57C1F">
        <w:t>’</w:t>
      </w:r>
      <w:r>
        <w:t>) and has highlighted timing (</w:t>
      </w:r>
      <w:r w:rsidR="5954B9FA">
        <w:t>‘</w:t>
      </w:r>
      <w:r>
        <w:t>when</w:t>
      </w:r>
      <w:r w:rsidR="1418DD84">
        <w:t>’</w:t>
      </w:r>
      <w:r>
        <w:t>) such measures should be deployed). See Table 2 for a summary of the strengths and challenges of each</w:t>
      </w:r>
      <w:r w:rsidR="00224B7E">
        <w:t> </w:t>
      </w:r>
      <w:r>
        <w:t>intervention.</w:t>
      </w:r>
    </w:p>
    <w:p w14:paraId="57FE8B0F" w14:textId="7EF232B0" w:rsidR="002442E0" w:rsidRPr="0093148C" w:rsidRDefault="002442E0" w:rsidP="00EB160F">
      <w:pPr>
        <w:pStyle w:val="Caption"/>
        <w:rPr>
          <w:sz w:val="23"/>
          <w:szCs w:val="23"/>
        </w:rPr>
      </w:pPr>
      <w:r w:rsidRPr="00417367">
        <w:t>Table 1</w:t>
      </w:r>
      <w:r w:rsidR="00417367">
        <w:t>:</w:t>
      </w:r>
      <w:r w:rsidRPr="00417367">
        <w:t xml:space="preserve"> Summary of </w:t>
      </w:r>
      <w:r w:rsidRPr="00EB160F">
        <w:t>key</w:t>
      </w:r>
      <w:r w:rsidRPr="00417367">
        <w:t xml:space="preserve"> targets for interventions (what), which interventions align (how) and when to deploy them</w:t>
      </w:r>
    </w:p>
    <w:tbl>
      <w:tblPr>
        <w:tblStyle w:val="ListTable3-Accent3"/>
        <w:tblW w:w="5000" w:type="pct"/>
        <w:tblLook w:val="04A0" w:firstRow="1" w:lastRow="0" w:firstColumn="1" w:lastColumn="0" w:noHBand="0" w:noVBand="1"/>
      </w:tblPr>
      <w:tblGrid>
        <w:gridCol w:w="2951"/>
        <w:gridCol w:w="3010"/>
        <w:gridCol w:w="3055"/>
      </w:tblGrid>
      <w:tr w:rsidR="00D34A07" w:rsidRPr="000A2670" w14:paraId="4FFA781B" w14:textId="77777777" w:rsidTr="00EB160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37" w:type="pct"/>
          </w:tcPr>
          <w:p w14:paraId="5B299F55" w14:textId="3FC431FD" w:rsidR="000A2670" w:rsidRPr="000A2670" w:rsidRDefault="000A2670" w:rsidP="00EB160F">
            <w:pPr>
              <w:pStyle w:val="TableText"/>
              <w:rPr>
                <w:b w:val="0"/>
                <w:bCs w:val="0"/>
              </w:rPr>
            </w:pPr>
            <w:r w:rsidRPr="000A2670">
              <w:t>What</w:t>
            </w:r>
          </w:p>
        </w:tc>
        <w:tc>
          <w:tcPr>
            <w:tcW w:w="1669" w:type="pct"/>
          </w:tcPr>
          <w:p w14:paraId="66D25465" w14:textId="64BE8C40" w:rsidR="000A2670" w:rsidRPr="000A2670" w:rsidRDefault="000A2670" w:rsidP="00EB160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0A2670">
              <w:t>How</w:t>
            </w:r>
          </w:p>
        </w:tc>
        <w:tc>
          <w:tcPr>
            <w:tcW w:w="1694" w:type="pct"/>
          </w:tcPr>
          <w:p w14:paraId="2DFCA2B3" w14:textId="7D176F2E" w:rsidR="000A2670" w:rsidRPr="000A2670" w:rsidRDefault="000A2670" w:rsidP="00EB160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0A2670">
              <w:t>When</w:t>
            </w:r>
          </w:p>
        </w:tc>
      </w:tr>
      <w:tr w:rsidR="00D34A07" w:rsidRPr="0093148C" w14:paraId="35885BF6" w14:textId="77777777" w:rsidTr="00EB16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7" w:type="pct"/>
          </w:tcPr>
          <w:p w14:paraId="56DE7DCC" w14:textId="77777777" w:rsidR="002442E0" w:rsidRPr="000A2670" w:rsidRDefault="002442E0" w:rsidP="00EB160F">
            <w:pPr>
              <w:pStyle w:val="TableText"/>
              <w:rPr>
                <w:b w:val="0"/>
                <w:bCs w:val="0"/>
              </w:rPr>
            </w:pPr>
            <w:r w:rsidRPr="000A2670">
              <w:t>Developing foundational knowledge and skills</w:t>
            </w:r>
          </w:p>
        </w:tc>
        <w:tc>
          <w:tcPr>
            <w:tcW w:w="1669" w:type="pct"/>
          </w:tcPr>
          <w:p w14:paraId="308CDAB8" w14:textId="77777777" w:rsidR="002442E0" w:rsidRPr="0093148C" w:rsidRDefault="002442E0" w:rsidP="00EB160F">
            <w:pPr>
              <w:pStyle w:val="TableText"/>
              <w:cnfStyle w:val="000000100000" w:firstRow="0" w:lastRow="0" w:firstColumn="0" w:lastColumn="0" w:oddVBand="0" w:evenVBand="0" w:oddHBand="1" w:evenHBand="0" w:firstRowFirstColumn="0" w:firstRowLastColumn="0" w:lastRowFirstColumn="0" w:lastRowLastColumn="0"/>
            </w:pPr>
            <w:r w:rsidRPr="0093148C">
              <w:t>Education curriculum and community workshops</w:t>
            </w:r>
          </w:p>
        </w:tc>
        <w:tc>
          <w:tcPr>
            <w:tcW w:w="1694" w:type="pct"/>
          </w:tcPr>
          <w:p w14:paraId="391A0040" w14:textId="0F98F7FD" w:rsidR="002442E0" w:rsidRPr="0093148C" w:rsidRDefault="002442E0" w:rsidP="00783731">
            <w:pPr>
              <w:pStyle w:val="TableText"/>
              <w:cnfStyle w:val="000000100000" w:firstRow="0" w:lastRow="0" w:firstColumn="0" w:lastColumn="0" w:oddVBand="0" w:evenVBand="0" w:oddHBand="1" w:evenHBand="0" w:firstRowFirstColumn="0" w:firstRowLastColumn="0" w:lastRowFirstColumn="0" w:lastRowLastColumn="0"/>
            </w:pPr>
            <w:r w:rsidRPr="00EB160F">
              <w:rPr>
                <w:rStyle w:val="Strong"/>
              </w:rPr>
              <w:t>Pre</w:t>
            </w:r>
            <w:r w:rsidR="00783731">
              <w:rPr>
                <w:rStyle w:val="Strong"/>
              </w:rPr>
              <w:noBreakHyphen/>
            </w:r>
            <w:r w:rsidRPr="00EB160F">
              <w:rPr>
                <w:rStyle w:val="Strong"/>
              </w:rPr>
              <w:t>emptive</w:t>
            </w:r>
            <w:r w:rsidR="00EB160F" w:rsidRPr="00EB160F">
              <w:rPr>
                <w:rStyle w:val="Strong"/>
              </w:rPr>
              <w:t>:</w:t>
            </w:r>
            <w:r w:rsidR="00783731">
              <w:rPr>
                <w:rStyle w:val="Strong"/>
              </w:rPr>
              <w:br/>
            </w:r>
            <w:r w:rsidRPr="0093148C">
              <w:t>Guarding against misinformation</w:t>
            </w:r>
          </w:p>
        </w:tc>
      </w:tr>
      <w:tr w:rsidR="00D34A07" w:rsidRPr="0093148C" w14:paraId="13BB976D" w14:textId="77777777" w:rsidTr="00EB160F">
        <w:trPr>
          <w:trHeight w:val="20"/>
        </w:trPr>
        <w:tc>
          <w:tcPr>
            <w:cnfStyle w:val="001000000000" w:firstRow="0" w:lastRow="0" w:firstColumn="1" w:lastColumn="0" w:oddVBand="0" w:evenVBand="0" w:oddHBand="0" w:evenHBand="0" w:firstRowFirstColumn="0" w:firstRowLastColumn="0" w:lastRowFirstColumn="0" w:lastRowLastColumn="0"/>
            <w:tcW w:w="1637" w:type="pct"/>
          </w:tcPr>
          <w:p w14:paraId="4B3CB57F" w14:textId="77777777" w:rsidR="002442E0" w:rsidRPr="000A2670" w:rsidRDefault="002442E0" w:rsidP="00EB160F">
            <w:pPr>
              <w:pStyle w:val="TableText"/>
              <w:rPr>
                <w:b w:val="0"/>
                <w:bCs w:val="0"/>
              </w:rPr>
            </w:pPr>
            <w:r w:rsidRPr="000A2670">
              <w:t xml:space="preserve">Prompting actionable </w:t>
            </w:r>
            <w:r w:rsidRPr="000A2670">
              <w:br/>
              <w:t>skills in online spaces</w:t>
            </w:r>
          </w:p>
        </w:tc>
        <w:tc>
          <w:tcPr>
            <w:tcW w:w="1669" w:type="pct"/>
          </w:tcPr>
          <w:p w14:paraId="730BADC3" w14:textId="5CA98D69" w:rsidR="002442E0" w:rsidRPr="0093148C" w:rsidRDefault="002442E0" w:rsidP="00EB160F">
            <w:pPr>
              <w:pStyle w:val="TableText"/>
              <w:cnfStyle w:val="000000000000" w:firstRow="0" w:lastRow="0" w:firstColumn="0" w:lastColumn="0" w:oddVBand="0" w:evenVBand="0" w:oddHBand="0" w:evenHBand="0" w:firstRowFirstColumn="0" w:firstRowLastColumn="0" w:lastRowFirstColumn="0" w:lastRowLastColumn="0"/>
            </w:pPr>
            <w:r w:rsidRPr="0093148C">
              <w:t xml:space="preserve">Deploying </w:t>
            </w:r>
            <w:proofErr w:type="spellStart"/>
            <w:r w:rsidRPr="0093148C">
              <w:t>prebunking</w:t>
            </w:r>
            <w:proofErr w:type="spellEnd"/>
            <w:r w:rsidRPr="0093148C">
              <w:t xml:space="preserve"> and </w:t>
            </w:r>
            <w:r w:rsidR="00AD265C">
              <w:t>media literacy</w:t>
            </w:r>
            <w:r w:rsidRPr="0093148C">
              <w:t xml:space="preserve"> tips</w:t>
            </w:r>
          </w:p>
        </w:tc>
        <w:tc>
          <w:tcPr>
            <w:tcW w:w="1694" w:type="pct"/>
          </w:tcPr>
          <w:p w14:paraId="436BA591" w14:textId="66FAA614" w:rsidR="002442E0" w:rsidRPr="0093148C" w:rsidRDefault="002442E0" w:rsidP="00783731">
            <w:pPr>
              <w:pStyle w:val="TableText"/>
              <w:cnfStyle w:val="000000000000" w:firstRow="0" w:lastRow="0" w:firstColumn="0" w:lastColumn="0" w:oddVBand="0" w:evenVBand="0" w:oddHBand="0" w:evenHBand="0" w:firstRowFirstColumn="0" w:firstRowLastColumn="0" w:lastRowFirstColumn="0" w:lastRowLastColumn="0"/>
            </w:pPr>
            <w:r w:rsidRPr="00EB160F">
              <w:rPr>
                <w:rStyle w:val="Strong"/>
              </w:rPr>
              <w:t>Pre</w:t>
            </w:r>
            <w:r w:rsidR="00783731">
              <w:rPr>
                <w:rStyle w:val="Strong"/>
              </w:rPr>
              <w:noBreakHyphen/>
            </w:r>
            <w:r w:rsidRPr="00EB160F">
              <w:rPr>
                <w:rStyle w:val="Strong"/>
              </w:rPr>
              <w:t>emptive</w:t>
            </w:r>
            <w:r w:rsidR="00EB160F" w:rsidRPr="00EB160F">
              <w:rPr>
                <w:rStyle w:val="Strong"/>
              </w:rPr>
              <w:t>:</w:t>
            </w:r>
            <w:r w:rsidR="00783731">
              <w:rPr>
                <w:rStyle w:val="Strong"/>
              </w:rPr>
              <w:br/>
            </w:r>
            <w:r w:rsidRPr="0093148C">
              <w:t>Guarding against misinformation</w:t>
            </w:r>
          </w:p>
        </w:tc>
      </w:tr>
      <w:tr w:rsidR="00D34A07" w:rsidRPr="0093148C" w14:paraId="59D820F1" w14:textId="77777777" w:rsidTr="00EB16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7" w:type="pct"/>
          </w:tcPr>
          <w:p w14:paraId="6ADBB161" w14:textId="311355A1" w:rsidR="002442E0" w:rsidRPr="000A2670" w:rsidRDefault="002442E0" w:rsidP="00EB160F">
            <w:pPr>
              <w:pStyle w:val="TableText"/>
              <w:rPr>
                <w:b w:val="0"/>
                <w:bCs w:val="0"/>
              </w:rPr>
            </w:pPr>
            <w:r w:rsidRPr="000A2670">
              <w:t>Shifting information</w:t>
            </w:r>
            <w:r w:rsidR="00EB160F">
              <w:t xml:space="preserve"> </w:t>
            </w:r>
            <w:r w:rsidRPr="000A2670">
              <w:t>consumption in the moment</w:t>
            </w:r>
          </w:p>
        </w:tc>
        <w:tc>
          <w:tcPr>
            <w:tcW w:w="1669" w:type="pct"/>
          </w:tcPr>
          <w:p w14:paraId="0930D7A5" w14:textId="77777777" w:rsidR="002442E0" w:rsidRPr="0093148C" w:rsidRDefault="002442E0" w:rsidP="00EB160F">
            <w:pPr>
              <w:pStyle w:val="TableText"/>
              <w:cnfStyle w:val="000000100000" w:firstRow="0" w:lastRow="0" w:firstColumn="0" w:lastColumn="0" w:oddVBand="0" w:evenVBand="0" w:oddHBand="1" w:evenHBand="0" w:firstRowFirstColumn="0" w:firstRowLastColumn="0" w:lastRowFirstColumn="0" w:lastRowLastColumn="0"/>
            </w:pPr>
            <w:r w:rsidRPr="0093148C">
              <w:t>Creating friction</w:t>
            </w:r>
          </w:p>
        </w:tc>
        <w:tc>
          <w:tcPr>
            <w:tcW w:w="1694" w:type="pct"/>
          </w:tcPr>
          <w:p w14:paraId="3336D6B8" w14:textId="33A0B85D" w:rsidR="002442E0" w:rsidRPr="0093148C" w:rsidRDefault="002442E0" w:rsidP="00783731">
            <w:pPr>
              <w:pStyle w:val="TableText"/>
              <w:cnfStyle w:val="000000100000" w:firstRow="0" w:lastRow="0" w:firstColumn="0" w:lastColumn="0" w:oddVBand="0" w:evenVBand="0" w:oddHBand="1" w:evenHBand="0" w:firstRowFirstColumn="0" w:firstRowLastColumn="0" w:lastRowFirstColumn="0" w:lastRowLastColumn="0"/>
            </w:pPr>
            <w:r w:rsidRPr="00EB160F">
              <w:rPr>
                <w:rStyle w:val="Strong"/>
              </w:rPr>
              <w:t>Contextual</w:t>
            </w:r>
            <w:r w:rsidR="00EB160F" w:rsidRPr="00EB160F">
              <w:rPr>
                <w:rStyle w:val="Strong"/>
              </w:rPr>
              <w:t>:</w:t>
            </w:r>
            <w:r w:rsidR="00783731">
              <w:rPr>
                <w:rStyle w:val="Strong"/>
              </w:rPr>
              <w:br/>
            </w:r>
            <w:r w:rsidRPr="0093148C">
              <w:t>Guarding against misinformation</w:t>
            </w:r>
          </w:p>
        </w:tc>
      </w:tr>
      <w:tr w:rsidR="00D34A07" w:rsidRPr="0093148C" w14:paraId="77D8032D" w14:textId="77777777" w:rsidTr="00EB160F">
        <w:trPr>
          <w:trHeight w:val="20"/>
        </w:trPr>
        <w:tc>
          <w:tcPr>
            <w:cnfStyle w:val="001000000000" w:firstRow="0" w:lastRow="0" w:firstColumn="1" w:lastColumn="0" w:oddVBand="0" w:evenVBand="0" w:oddHBand="0" w:evenHBand="0" w:firstRowFirstColumn="0" w:firstRowLastColumn="0" w:lastRowFirstColumn="0" w:lastRowLastColumn="0"/>
            <w:tcW w:w="1637" w:type="pct"/>
          </w:tcPr>
          <w:p w14:paraId="53749E0F" w14:textId="77777777" w:rsidR="002442E0" w:rsidRPr="000A2670" w:rsidRDefault="002442E0" w:rsidP="00EB160F">
            <w:pPr>
              <w:pStyle w:val="TableText"/>
              <w:rPr>
                <w:b w:val="0"/>
                <w:bCs w:val="0"/>
              </w:rPr>
            </w:pPr>
            <w:r w:rsidRPr="000A2670">
              <w:t>Updating beliefs and knowledge after exposure</w:t>
            </w:r>
          </w:p>
        </w:tc>
        <w:tc>
          <w:tcPr>
            <w:tcW w:w="1669" w:type="pct"/>
          </w:tcPr>
          <w:p w14:paraId="3BE07D7E" w14:textId="77777777" w:rsidR="002442E0" w:rsidRPr="0093148C" w:rsidRDefault="002442E0" w:rsidP="00EB160F">
            <w:pPr>
              <w:pStyle w:val="TableText"/>
              <w:cnfStyle w:val="000000000000" w:firstRow="0" w:lastRow="0" w:firstColumn="0" w:lastColumn="0" w:oddVBand="0" w:evenVBand="0" w:oddHBand="0" w:evenHBand="0" w:firstRowFirstColumn="0" w:firstRowLastColumn="0" w:lastRowFirstColumn="0" w:lastRowLastColumn="0"/>
            </w:pPr>
            <w:r w:rsidRPr="0093148C">
              <w:t>Deploying corrections</w:t>
            </w:r>
          </w:p>
        </w:tc>
        <w:tc>
          <w:tcPr>
            <w:tcW w:w="1694" w:type="pct"/>
          </w:tcPr>
          <w:p w14:paraId="2AAE329A" w14:textId="67BB0B5E" w:rsidR="002442E0" w:rsidRPr="0093148C" w:rsidRDefault="002442E0" w:rsidP="00783731">
            <w:pPr>
              <w:pStyle w:val="TableText"/>
              <w:cnfStyle w:val="000000000000" w:firstRow="0" w:lastRow="0" w:firstColumn="0" w:lastColumn="0" w:oddVBand="0" w:evenVBand="0" w:oddHBand="0" w:evenHBand="0" w:firstRowFirstColumn="0" w:firstRowLastColumn="0" w:lastRowFirstColumn="0" w:lastRowLastColumn="0"/>
            </w:pPr>
            <w:r w:rsidRPr="00EB160F">
              <w:rPr>
                <w:rStyle w:val="Strong"/>
              </w:rPr>
              <w:t>Responsive</w:t>
            </w:r>
            <w:r w:rsidR="00EB160F" w:rsidRPr="00EB160F">
              <w:rPr>
                <w:rStyle w:val="Strong"/>
              </w:rPr>
              <w:t>:</w:t>
            </w:r>
            <w:r w:rsidR="00783731">
              <w:rPr>
                <w:rStyle w:val="Strong"/>
              </w:rPr>
              <w:br/>
            </w:r>
            <w:r w:rsidRPr="0093148C">
              <w:t>Responding to misinformation</w:t>
            </w:r>
          </w:p>
        </w:tc>
      </w:tr>
      <w:tr w:rsidR="00D34A07" w:rsidRPr="0093148C" w14:paraId="4A06F7B7" w14:textId="77777777" w:rsidTr="00EB16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7" w:type="pct"/>
          </w:tcPr>
          <w:p w14:paraId="34FECF42" w14:textId="5608B0C8" w:rsidR="002442E0" w:rsidRPr="000A2670" w:rsidRDefault="002442E0" w:rsidP="00EB160F">
            <w:pPr>
              <w:pStyle w:val="TableText"/>
              <w:rPr>
                <w:b w:val="0"/>
                <w:bCs w:val="0"/>
              </w:rPr>
            </w:pPr>
            <w:r w:rsidRPr="000A2670">
              <w:t>Supporting a high</w:t>
            </w:r>
            <w:r w:rsidR="00783731">
              <w:noBreakHyphen/>
            </w:r>
            <w:r w:rsidRPr="000A2670">
              <w:t>quality information environment</w:t>
            </w:r>
          </w:p>
        </w:tc>
        <w:tc>
          <w:tcPr>
            <w:tcW w:w="1669" w:type="pct"/>
          </w:tcPr>
          <w:p w14:paraId="2E61DED6" w14:textId="1C1DADFE" w:rsidR="002442E0" w:rsidRPr="0093148C" w:rsidRDefault="002442E0" w:rsidP="00EB160F">
            <w:pPr>
              <w:pStyle w:val="TableText"/>
              <w:cnfStyle w:val="000000100000" w:firstRow="0" w:lastRow="0" w:firstColumn="0" w:lastColumn="0" w:oddVBand="0" w:evenVBand="0" w:oddHBand="1" w:evenHBand="0" w:firstRowFirstColumn="0" w:firstRowLastColumn="0" w:lastRowFirstColumn="0" w:lastRowLastColumn="0"/>
            </w:pPr>
            <w:r w:rsidRPr="0093148C">
              <w:t>Promoting crowdsourcing Supply</w:t>
            </w:r>
            <w:r w:rsidR="00783731">
              <w:noBreakHyphen/>
            </w:r>
            <w:r w:rsidRPr="0093148C">
              <w:t>side considerations</w:t>
            </w:r>
          </w:p>
        </w:tc>
        <w:tc>
          <w:tcPr>
            <w:tcW w:w="1694" w:type="pct"/>
          </w:tcPr>
          <w:p w14:paraId="72F20717" w14:textId="15755935" w:rsidR="002442E0" w:rsidRPr="0093148C" w:rsidRDefault="002442E0" w:rsidP="00783731">
            <w:pPr>
              <w:pStyle w:val="TableText"/>
              <w:cnfStyle w:val="000000100000" w:firstRow="0" w:lastRow="0" w:firstColumn="0" w:lastColumn="0" w:oddVBand="0" w:evenVBand="0" w:oddHBand="1" w:evenHBand="0" w:firstRowFirstColumn="0" w:firstRowLastColumn="0" w:lastRowFirstColumn="0" w:lastRowLastColumn="0"/>
            </w:pPr>
            <w:r w:rsidRPr="00EB160F">
              <w:rPr>
                <w:rStyle w:val="Strong"/>
              </w:rPr>
              <w:t>Ongoing</w:t>
            </w:r>
            <w:r w:rsidR="00EB160F" w:rsidRPr="00EB160F">
              <w:rPr>
                <w:rStyle w:val="Strong"/>
              </w:rPr>
              <w:t>:</w:t>
            </w:r>
            <w:r w:rsidR="00783731">
              <w:rPr>
                <w:rStyle w:val="Strong"/>
              </w:rPr>
              <w:br/>
            </w:r>
            <w:r w:rsidRPr="0093148C">
              <w:t>Maintenance of the quality of</w:t>
            </w:r>
            <w:r w:rsidR="00EB160F">
              <w:t xml:space="preserve"> </w:t>
            </w:r>
            <w:r w:rsidRPr="0093148C">
              <w:t>information environment</w:t>
            </w:r>
          </w:p>
        </w:tc>
      </w:tr>
    </w:tbl>
    <w:p w14:paraId="7DC3D18C" w14:textId="38040841" w:rsidR="002442E0" w:rsidRPr="00620431" w:rsidRDefault="002442E0" w:rsidP="00FD5368">
      <w:pPr>
        <w:pStyle w:val="Heading3Numbered"/>
      </w:pPr>
      <w:bookmarkStart w:id="63" w:name="_Toc218511674"/>
      <w:r>
        <w:t xml:space="preserve">Limitations of the </w:t>
      </w:r>
      <w:r w:rsidR="7D78334B">
        <w:t>c</w:t>
      </w:r>
      <w:r>
        <w:t xml:space="preserve">urrent </w:t>
      </w:r>
      <w:r w:rsidR="33197A2B">
        <w:t>l</w:t>
      </w:r>
      <w:r>
        <w:t xml:space="preserve">iterature on </w:t>
      </w:r>
      <w:r w:rsidR="4AF55D2B">
        <w:t>m</w:t>
      </w:r>
      <w:r>
        <w:t xml:space="preserve">isinformation </w:t>
      </w:r>
      <w:r w:rsidR="1FBD584A">
        <w:t>i</w:t>
      </w:r>
      <w:r>
        <w:t>nterventions</w:t>
      </w:r>
      <w:bookmarkEnd w:id="63"/>
    </w:p>
    <w:p w14:paraId="5C4AE177" w14:textId="2A2E6E41" w:rsidR="002442E0" w:rsidRPr="0093148C" w:rsidRDefault="002442E0" w:rsidP="00425B1D">
      <w:r w:rsidRPr="0093148C">
        <w:t>Many studies, including those reviewed in the current report, focus on average effects between intervention groups relative to a control group. Less research addresses the efficacy of interventions considering critical individual or group</w:t>
      </w:r>
      <w:r w:rsidR="00783731">
        <w:noBreakHyphen/>
      </w:r>
      <w:r w:rsidRPr="0093148C">
        <w:t xml:space="preserve">level differences – especially for those who may be most vulnerable </w:t>
      </w:r>
      <w:r w:rsidR="00051F06">
        <w:t>(</w:t>
      </w:r>
      <w:r w:rsidR="00051F06" w:rsidRPr="0093148C">
        <w:t>Brashier</w:t>
      </w:r>
      <w:r w:rsidR="00051F06">
        <w:t xml:space="preserve"> </w:t>
      </w:r>
      <w:r w:rsidR="00051F06" w:rsidRPr="0093148C">
        <w:t>2024)</w:t>
      </w:r>
      <w:r w:rsidRPr="0093148C">
        <w:t>. For instance, older adults may need more tailored interventions that support long</w:t>
      </w:r>
      <w:r w:rsidR="00783731">
        <w:noBreakHyphen/>
      </w:r>
      <w:r w:rsidRPr="0093148C">
        <w:t xml:space="preserve">term retention of intervention messages, and a stronger focus on sharing behaviours. Indeed, research in the US suggests that older adults tend to share more misinformation (see Brashier </w:t>
      </w:r>
      <w:r w:rsidR="00051F06">
        <w:t>and</w:t>
      </w:r>
      <w:r w:rsidRPr="0093148C">
        <w:t xml:space="preserve"> Schacter 2020). Further, with rapid technological advances and an evolving information environment, understanding which findings are likely to hold over time is important </w:t>
      </w:r>
      <w:r w:rsidR="00051F06">
        <w:t>(</w:t>
      </w:r>
      <w:r w:rsidR="00051F06" w:rsidRPr="0093148C">
        <w:t>Munger</w:t>
      </w:r>
      <w:r w:rsidR="00051F06">
        <w:t xml:space="preserve"> </w:t>
      </w:r>
      <w:r w:rsidR="00051F06" w:rsidRPr="0093148C">
        <w:t>2023)</w:t>
      </w:r>
      <w:r w:rsidRPr="0093148C">
        <w:t>.</w:t>
      </w:r>
    </w:p>
    <w:p w14:paraId="252F9D80" w14:textId="32EA79B8" w:rsidR="00513E6C" w:rsidRPr="0093148C" w:rsidRDefault="002442E0" w:rsidP="00425B1D">
      <w:r>
        <w:t xml:space="preserve">Each intervention has specific strengths and limitations. However, across interventions it is challenging to assess relative efficacy, as materials, context and key outcome measures differ substantially between studies. One recent </w:t>
      </w:r>
      <w:proofErr w:type="spellStart"/>
      <w:r>
        <w:t>megastudy</w:t>
      </w:r>
      <w:proofErr w:type="spellEnd"/>
      <w:r>
        <w:t xml:space="preserve"> </w:t>
      </w:r>
      <w:r w:rsidR="00051F06">
        <w:t>(Fazio et al. 2024)</w:t>
      </w:r>
      <w:r>
        <w:t xml:space="preserve"> addressed some of these challenges by sampling pre</w:t>
      </w:r>
      <w:r w:rsidR="00783731">
        <w:noBreakHyphen/>
      </w:r>
      <w:r>
        <w:t>emptive and responsive interventions, drawing on the same materials and key outcome measures. This</w:t>
      </w:r>
      <w:r w:rsidR="00EB160F">
        <w:t> </w:t>
      </w:r>
      <w:r>
        <w:t xml:space="preserve">research found that all interventions showed efficacy (for U.S. participants). </w:t>
      </w:r>
    </w:p>
    <w:p w14:paraId="3FB88AF1" w14:textId="068476DA" w:rsidR="00513E6C" w:rsidRPr="0093148C" w:rsidRDefault="002442E0" w:rsidP="00425B1D">
      <w:r>
        <w:t xml:space="preserve">A close inspection of assessments of true and false content showed that some interventions reduced belief </w:t>
      </w:r>
      <w:r w:rsidRPr="7DA21BBB">
        <w:t xml:space="preserve">in false information (e.g., debunking), while others also increased belief in </w:t>
      </w:r>
      <w:r w:rsidRPr="00224B7E">
        <w:rPr>
          <w:rStyle w:val="Strong"/>
        </w:rPr>
        <w:t xml:space="preserve">true </w:t>
      </w:r>
      <w:r>
        <w:t>information (e.g., media literacy tips), within the context of the study. However, the paper has not yet undergone peer</w:t>
      </w:r>
      <w:r w:rsidR="00783731">
        <w:noBreakHyphen/>
      </w:r>
      <w:r>
        <w:t xml:space="preserve">review, and findings warrant further study to assess to what extent such findings replicate outside a U.S. context. One further challenge that will require more research is understanding the impact of a given intervention </w:t>
      </w:r>
      <w:r w:rsidR="276E51ED">
        <w:t>‘</w:t>
      </w:r>
      <w:r>
        <w:t>in the wild</w:t>
      </w:r>
      <w:r w:rsidR="067AC08C">
        <w:t>’</w:t>
      </w:r>
      <w:r w:rsidR="007E77E9">
        <w:t xml:space="preserve"> – </w:t>
      </w:r>
      <w:r>
        <w:t>it must be assumed that effects obtained in controlled lab experiments will be smaller in real</w:t>
      </w:r>
      <w:r w:rsidR="00783731">
        <w:noBreakHyphen/>
      </w:r>
      <w:r>
        <w:t xml:space="preserve">world application </w:t>
      </w:r>
      <w:r w:rsidR="00051F06">
        <w:t>(</w:t>
      </w:r>
      <w:proofErr w:type="spellStart"/>
      <w:r w:rsidR="00051F06">
        <w:t>Roozenbeek</w:t>
      </w:r>
      <w:proofErr w:type="spellEnd"/>
      <w:r w:rsidR="00051F06">
        <w:t xml:space="preserve"> et al. 2024)</w:t>
      </w:r>
      <w:r>
        <w:t>. A</w:t>
      </w:r>
      <w:r w:rsidR="00EB160F">
        <w:t> </w:t>
      </w:r>
      <w:r>
        <w:t xml:space="preserve">given intervention can also produce ancillary impacts (e.g. creating general scepticism) and implementation challenges (e.g., scalability and reach). Going forward there is therefore a clear need to draw on (and test) formal evaluation frameworks </w:t>
      </w:r>
      <w:r w:rsidR="00051F06">
        <w:t>(Tay et al. 2023)</w:t>
      </w:r>
      <w:r w:rsidR="001E664D">
        <w:t>.</w:t>
      </w:r>
    </w:p>
    <w:p w14:paraId="7A2B1BF5" w14:textId="08DAC145" w:rsidR="002442E0" w:rsidRPr="003F348B" w:rsidRDefault="002442E0" w:rsidP="00FD5368">
      <w:pPr>
        <w:pStyle w:val="Caption"/>
      </w:pPr>
      <w:r w:rsidRPr="003F348B">
        <w:t>Table 2</w:t>
      </w:r>
      <w:r w:rsidR="00EB160F">
        <w:t>a–d</w:t>
      </w:r>
      <w:r w:rsidR="003F348B" w:rsidRPr="003F348B">
        <w:t>:</w:t>
      </w:r>
      <w:r w:rsidRPr="003F348B">
        <w:t xml:space="preserve"> Summarising the </w:t>
      </w:r>
      <w:r w:rsidR="377C76FE" w:rsidRPr="003F348B">
        <w:t>c</w:t>
      </w:r>
      <w:r w:rsidRPr="003F348B">
        <w:t xml:space="preserve">urrent </w:t>
      </w:r>
      <w:r w:rsidR="573548DA" w:rsidRPr="003F348B">
        <w:t>b</w:t>
      </w:r>
      <w:r w:rsidRPr="003F348B">
        <w:t xml:space="preserve">ody of </w:t>
      </w:r>
      <w:r w:rsidR="3768BFF6" w:rsidRPr="003F348B">
        <w:t>e</w:t>
      </w:r>
      <w:r w:rsidRPr="003F348B">
        <w:t xml:space="preserve">vidence: </w:t>
      </w:r>
      <w:r w:rsidR="5B977244" w:rsidRPr="003F348B">
        <w:t>e</w:t>
      </w:r>
      <w:r w:rsidRPr="003F348B">
        <w:t xml:space="preserve">valuation of </w:t>
      </w:r>
      <w:r w:rsidR="16190AFA" w:rsidRPr="003F348B">
        <w:t>i</w:t>
      </w:r>
      <w:r w:rsidRPr="003F348B">
        <w:t>nterventions</w:t>
      </w:r>
    </w:p>
    <w:p w14:paraId="62DC7B7D" w14:textId="3DDCD0D5" w:rsidR="002442E0" w:rsidRPr="0093148C" w:rsidRDefault="00EB160F" w:rsidP="00EB160F">
      <w:pPr>
        <w:pStyle w:val="Captionsecondary"/>
      </w:pPr>
      <w:r w:rsidRPr="00EB160F">
        <w:t>Table 2a</w:t>
      </w:r>
      <w:r>
        <w:t>:</w:t>
      </w:r>
      <w:r w:rsidRPr="00EB160F">
        <w:t xml:space="preserve"> </w:t>
      </w:r>
      <w:r w:rsidR="002442E0" w:rsidRPr="00EB160F">
        <w:t>Pre</w:t>
      </w:r>
      <w:r w:rsidR="00783731">
        <w:noBreakHyphen/>
      </w:r>
      <w:r w:rsidR="002442E0" w:rsidRPr="00EB160F">
        <w:t>emptive interventions</w:t>
      </w:r>
      <w:r w:rsidR="002442E0" w:rsidRPr="0093148C">
        <w:t xml:space="preserve"> – </w:t>
      </w:r>
      <w:r w:rsidR="37BA6ADE">
        <w:t>l</w:t>
      </w:r>
      <w:r w:rsidR="002442E0">
        <w:t>ong</w:t>
      </w:r>
      <w:r w:rsidR="00783731">
        <w:noBreakHyphen/>
      </w:r>
      <w:r w:rsidR="002442E0" w:rsidRPr="0093148C">
        <w:t>term competencies</w:t>
      </w:r>
    </w:p>
    <w:tbl>
      <w:tblPr>
        <w:tblStyle w:val="ListTable3-Accent3"/>
        <w:tblW w:w="9776" w:type="dxa"/>
        <w:tblLook w:val="04A0" w:firstRow="1" w:lastRow="0" w:firstColumn="1" w:lastColumn="0" w:noHBand="0" w:noVBand="1"/>
      </w:tblPr>
      <w:tblGrid>
        <w:gridCol w:w="1838"/>
        <w:gridCol w:w="3969"/>
        <w:gridCol w:w="3969"/>
      </w:tblGrid>
      <w:tr w:rsidR="000E341E" w:rsidRPr="0093148C" w14:paraId="35A4E534" w14:textId="77777777" w:rsidTr="00EB16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3F7A636B" w14:textId="77777777" w:rsidR="002442E0" w:rsidRPr="0093148C" w:rsidRDefault="002442E0" w:rsidP="00EB160F">
            <w:pPr>
              <w:pStyle w:val="TableText"/>
            </w:pPr>
            <w:r w:rsidRPr="0093148C">
              <w:t>Intervention</w:t>
            </w:r>
          </w:p>
        </w:tc>
        <w:tc>
          <w:tcPr>
            <w:tcW w:w="3969" w:type="dxa"/>
          </w:tcPr>
          <w:p w14:paraId="5544E71F" w14:textId="77777777" w:rsidR="002442E0" w:rsidRPr="0093148C" w:rsidRDefault="002442E0" w:rsidP="00EB160F">
            <w:pPr>
              <w:pStyle w:val="TableText"/>
              <w:cnfStyle w:val="100000000000" w:firstRow="1" w:lastRow="0" w:firstColumn="0" w:lastColumn="0" w:oddVBand="0" w:evenVBand="0" w:oddHBand="0" w:evenHBand="0" w:firstRowFirstColumn="0" w:firstRowLastColumn="0" w:lastRowFirstColumn="0" w:lastRowLastColumn="0"/>
            </w:pPr>
            <w:r w:rsidRPr="0093148C">
              <w:t>Strengths</w:t>
            </w:r>
          </w:p>
        </w:tc>
        <w:tc>
          <w:tcPr>
            <w:tcW w:w="3969" w:type="dxa"/>
          </w:tcPr>
          <w:p w14:paraId="4F6375A4" w14:textId="77777777" w:rsidR="002442E0" w:rsidRPr="0093148C" w:rsidRDefault="002442E0" w:rsidP="00EB160F">
            <w:pPr>
              <w:pStyle w:val="TableText"/>
              <w:cnfStyle w:val="100000000000" w:firstRow="1" w:lastRow="0" w:firstColumn="0" w:lastColumn="0" w:oddVBand="0" w:evenVBand="0" w:oddHBand="0" w:evenHBand="0" w:firstRowFirstColumn="0" w:firstRowLastColumn="0" w:lastRowFirstColumn="0" w:lastRowLastColumn="0"/>
            </w:pPr>
            <w:r w:rsidRPr="0093148C">
              <w:t>Challenges</w:t>
            </w:r>
          </w:p>
        </w:tc>
      </w:tr>
      <w:tr w:rsidR="000E341E" w:rsidRPr="0093148C" w14:paraId="6943EDB2" w14:textId="77777777" w:rsidTr="00EB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F9C074" w14:textId="6F23B248" w:rsidR="002442E0" w:rsidRPr="0093148C" w:rsidRDefault="00AD265C" w:rsidP="00EB160F">
            <w:pPr>
              <w:pStyle w:val="TableText"/>
            </w:pPr>
            <w:r>
              <w:t>Information literacy</w:t>
            </w:r>
            <w:r w:rsidR="00EB160F">
              <w:t xml:space="preserve"> </w:t>
            </w:r>
            <w:r w:rsidR="002442E0">
              <w:t>/</w:t>
            </w:r>
            <w:r w:rsidR="00EB160F">
              <w:t xml:space="preserve"> </w:t>
            </w:r>
            <w:r w:rsidR="24CA8A94">
              <w:t>l</w:t>
            </w:r>
            <w:r w:rsidR="002442E0" w:rsidRPr="0093148C">
              <w:t xml:space="preserve">ateral </w:t>
            </w:r>
            <w:r w:rsidR="00EB160F">
              <w:t>r</w:t>
            </w:r>
            <w:r w:rsidR="002442E0" w:rsidRPr="0093148C">
              <w:t>eading</w:t>
            </w:r>
          </w:p>
        </w:tc>
        <w:tc>
          <w:tcPr>
            <w:tcW w:w="3969" w:type="dxa"/>
          </w:tcPr>
          <w:p w14:paraId="3558DD56" w14:textId="25920565"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Fast and effective way for people to improve assessments of information credibility</w:t>
            </w:r>
          </w:p>
        </w:tc>
        <w:tc>
          <w:tcPr>
            <w:tcW w:w="3969" w:type="dxa"/>
          </w:tcPr>
          <w:p w14:paraId="2D2FF2C0"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Requires an adaptation of traditional teaching focused on critical thinking</w:t>
            </w:r>
          </w:p>
          <w:p w14:paraId="238086AB"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Investment in professional development</w:t>
            </w:r>
          </w:p>
          <w:p w14:paraId="14BB1C93"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Questions around systematic embedding across the curriculum</w:t>
            </w:r>
          </w:p>
        </w:tc>
      </w:tr>
      <w:tr w:rsidR="000E341E" w:rsidRPr="0093148C" w14:paraId="0C99FC0A" w14:textId="77777777" w:rsidTr="00EB160F">
        <w:tc>
          <w:tcPr>
            <w:cnfStyle w:val="001000000000" w:firstRow="0" w:lastRow="0" w:firstColumn="1" w:lastColumn="0" w:oddVBand="0" w:evenVBand="0" w:oddHBand="0" w:evenHBand="0" w:firstRowFirstColumn="0" w:firstRowLastColumn="0" w:lastRowFirstColumn="0" w:lastRowLastColumn="0"/>
            <w:tcW w:w="1838" w:type="dxa"/>
          </w:tcPr>
          <w:p w14:paraId="6E02ABA4" w14:textId="77777777" w:rsidR="002442E0" w:rsidRPr="0093148C" w:rsidRDefault="002442E0" w:rsidP="00EB160F">
            <w:pPr>
              <w:pStyle w:val="TableText"/>
            </w:pPr>
            <w:r w:rsidRPr="0093148C">
              <w:t>Media and digital literacy</w:t>
            </w:r>
          </w:p>
        </w:tc>
        <w:tc>
          <w:tcPr>
            <w:tcW w:w="3969" w:type="dxa"/>
          </w:tcPr>
          <w:p w14:paraId="777F9495" w14:textId="77777777"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Aligns with curriculum foci and can boost civic engagement</w:t>
            </w:r>
          </w:p>
          <w:p w14:paraId="74740872" w14:textId="77777777"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Through critical analyses of media representations can increase discernment and help people to identify misinformation</w:t>
            </w:r>
          </w:p>
        </w:tc>
        <w:tc>
          <w:tcPr>
            <w:tcW w:w="3969" w:type="dxa"/>
          </w:tcPr>
          <w:p w14:paraId="2274E20B" w14:textId="77777777"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Digital exclusion may hamper access and participation in interventions</w:t>
            </w:r>
          </w:p>
          <w:p w14:paraId="791097BC" w14:textId="77777777"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Training must evolve with dynamic information environment</w:t>
            </w:r>
          </w:p>
        </w:tc>
      </w:tr>
      <w:tr w:rsidR="000E341E" w:rsidRPr="0093148C" w14:paraId="73577EC6" w14:textId="77777777" w:rsidTr="00EB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66BF1D" w14:textId="5BC8C644" w:rsidR="002442E0" w:rsidRPr="0093148C" w:rsidRDefault="002442E0" w:rsidP="00EB160F">
            <w:pPr>
              <w:pStyle w:val="TableText"/>
            </w:pPr>
            <w:r w:rsidRPr="0093148C">
              <w:t xml:space="preserve">Critical </w:t>
            </w:r>
            <w:r w:rsidR="46C72BDD">
              <w:t>t</w:t>
            </w:r>
            <w:r w:rsidRPr="0093148C">
              <w:t>hinking</w:t>
            </w:r>
          </w:p>
        </w:tc>
        <w:tc>
          <w:tcPr>
            <w:tcW w:w="3969" w:type="dxa"/>
          </w:tcPr>
          <w:p w14:paraId="22BE66D9" w14:textId="0AA2DE0D"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 xml:space="preserve">Helps foster </w:t>
            </w:r>
            <w:r w:rsidR="000822DE">
              <w:t>‘</w:t>
            </w:r>
            <w:r w:rsidRPr="0093148C">
              <w:t>informed trust</w:t>
            </w:r>
            <w:r w:rsidR="000822DE">
              <w:t>’</w:t>
            </w:r>
            <w:r w:rsidRPr="0093148C">
              <w:t xml:space="preserve"> and an understanding of evidence</w:t>
            </w:r>
          </w:p>
          <w:p w14:paraId="7D7C45DB"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Foundational knowledge for all interventions</w:t>
            </w:r>
          </w:p>
          <w:p w14:paraId="2390D726"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Critical for information and democratic resilience</w:t>
            </w:r>
          </w:p>
        </w:tc>
        <w:tc>
          <w:tcPr>
            <w:tcW w:w="3969" w:type="dxa"/>
          </w:tcPr>
          <w:p w14:paraId="069A9890"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Highly dependent on curriculum structure</w:t>
            </w:r>
          </w:p>
          <w:p w14:paraId="73DB71EC" w14:textId="65A04CDF"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Long</w:t>
            </w:r>
            <w:r w:rsidR="00783731">
              <w:noBreakHyphen/>
            </w:r>
            <w:r w:rsidRPr="0093148C">
              <w:t>term investment</w:t>
            </w:r>
          </w:p>
          <w:p w14:paraId="44AE71FB"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Investment in professional development</w:t>
            </w:r>
          </w:p>
        </w:tc>
      </w:tr>
    </w:tbl>
    <w:p w14:paraId="793CAF3C" w14:textId="30DDB36D" w:rsidR="002442E0" w:rsidRPr="0093148C" w:rsidRDefault="00EB160F" w:rsidP="00EB160F">
      <w:pPr>
        <w:pStyle w:val="Captionsecondary"/>
      </w:pPr>
      <w:r w:rsidRPr="00EB160F">
        <w:t>Table 2</w:t>
      </w:r>
      <w:r>
        <w:t>b</w:t>
      </w:r>
      <w:r w:rsidRPr="00EB160F">
        <w:t xml:space="preserve">: </w:t>
      </w:r>
      <w:r w:rsidR="002442E0" w:rsidRPr="00EB160F">
        <w:t>Pre</w:t>
      </w:r>
      <w:r w:rsidR="00783731">
        <w:noBreakHyphen/>
      </w:r>
      <w:r w:rsidR="002442E0" w:rsidRPr="00EB160F">
        <w:t>emptive interventions</w:t>
      </w:r>
      <w:r w:rsidR="002442E0">
        <w:t xml:space="preserve"> – </w:t>
      </w:r>
      <w:r w:rsidR="1BE40581" w:rsidRPr="003F348B">
        <w:t>b</w:t>
      </w:r>
      <w:r w:rsidR="002442E0">
        <w:t>rief competencies</w:t>
      </w:r>
    </w:p>
    <w:tbl>
      <w:tblPr>
        <w:tblStyle w:val="ListTable3-Accent3"/>
        <w:tblW w:w="9776" w:type="dxa"/>
        <w:tblLook w:val="04A0" w:firstRow="1" w:lastRow="0" w:firstColumn="1" w:lastColumn="0" w:noHBand="0" w:noVBand="1"/>
      </w:tblPr>
      <w:tblGrid>
        <w:gridCol w:w="1838"/>
        <w:gridCol w:w="3969"/>
        <w:gridCol w:w="3969"/>
      </w:tblGrid>
      <w:tr w:rsidR="000E341E" w:rsidRPr="0093148C" w14:paraId="33A7FC1D" w14:textId="77777777" w:rsidTr="00EB160F">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1838" w:type="dxa"/>
          </w:tcPr>
          <w:p w14:paraId="281B919A" w14:textId="77777777" w:rsidR="002442E0" w:rsidRPr="0093148C" w:rsidRDefault="002442E0" w:rsidP="00EB160F">
            <w:pPr>
              <w:pStyle w:val="TableText"/>
            </w:pPr>
            <w:r w:rsidRPr="0093148C">
              <w:t>Intervention</w:t>
            </w:r>
          </w:p>
        </w:tc>
        <w:tc>
          <w:tcPr>
            <w:tcW w:w="3969" w:type="dxa"/>
          </w:tcPr>
          <w:p w14:paraId="44AD7DB6" w14:textId="77777777" w:rsidR="002442E0" w:rsidRPr="0093148C" w:rsidRDefault="002442E0" w:rsidP="00EB160F">
            <w:pPr>
              <w:pStyle w:val="TableText"/>
              <w:cnfStyle w:val="100000000000" w:firstRow="1" w:lastRow="0" w:firstColumn="0" w:lastColumn="0" w:oddVBand="0" w:evenVBand="0" w:oddHBand="0" w:evenHBand="0" w:firstRowFirstColumn="0" w:firstRowLastColumn="0" w:lastRowFirstColumn="0" w:lastRowLastColumn="0"/>
            </w:pPr>
            <w:r w:rsidRPr="0093148C">
              <w:t>Strengths</w:t>
            </w:r>
          </w:p>
        </w:tc>
        <w:tc>
          <w:tcPr>
            <w:tcW w:w="3969" w:type="dxa"/>
          </w:tcPr>
          <w:p w14:paraId="4EBC94DF" w14:textId="77777777" w:rsidR="002442E0" w:rsidRPr="0093148C" w:rsidRDefault="002442E0" w:rsidP="00EB160F">
            <w:pPr>
              <w:pStyle w:val="TableText"/>
              <w:cnfStyle w:val="100000000000" w:firstRow="1" w:lastRow="0" w:firstColumn="0" w:lastColumn="0" w:oddVBand="0" w:evenVBand="0" w:oddHBand="0" w:evenHBand="0" w:firstRowFirstColumn="0" w:firstRowLastColumn="0" w:lastRowFirstColumn="0" w:lastRowLastColumn="0"/>
            </w:pPr>
            <w:r w:rsidRPr="0093148C">
              <w:t>Challenges</w:t>
            </w:r>
          </w:p>
        </w:tc>
      </w:tr>
      <w:tr w:rsidR="000E341E" w:rsidRPr="0093148C" w14:paraId="754175DF" w14:textId="77777777" w:rsidTr="00EB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8439F1" w14:textId="737E4AFE" w:rsidR="002442E0" w:rsidRPr="0093148C" w:rsidRDefault="002442E0" w:rsidP="00EB160F">
            <w:pPr>
              <w:pStyle w:val="TableText"/>
            </w:pPr>
            <w:proofErr w:type="spellStart"/>
            <w:r w:rsidRPr="0093148C">
              <w:t>Prebunking</w:t>
            </w:r>
            <w:proofErr w:type="spellEnd"/>
            <w:r w:rsidR="00EB160F">
              <w:br/>
            </w:r>
            <w:r w:rsidRPr="0093148C">
              <w:t>(fact</w:t>
            </w:r>
            <w:r w:rsidR="00783731">
              <w:noBreakHyphen/>
            </w:r>
            <w:r w:rsidRPr="0093148C">
              <w:t>based</w:t>
            </w:r>
            <w:r w:rsidR="00EB160F">
              <w:t xml:space="preserve"> </w:t>
            </w:r>
            <w:r w:rsidRPr="0093148C">
              <w:t>and logic</w:t>
            </w:r>
            <w:r w:rsidR="00783731">
              <w:noBreakHyphen/>
            </w:r>
            <w:r w:rsidRPr="0093148C">
              <w:t>based)</w:t>
            </w:r>
          </w:p>
        </w:tc>
        <w:tc>
          <w:tcPr>
            <w:tcW w:w="3969" w:type="dxa"/>
          </w:tcPr>
          <w:p w14:paraId="60AFD0CE"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Can protect people from misinformation that has yet to spread</w:t>
            </w:r>
          </w:p>
          <w:p w14:paraId="53EA4B39" w14:textId="68EE6482" w:rsidR="002442E0" w:rsidRPr="00425B1D"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May boost people’s confidence to speak up about target issues and thus build up pre</w:t>
            </w:r>
            <w:r w:rsidR="00783731">
              <w:noBreakHyphen/>
            </w:r>
            <w:r w:rsidRPr="0093148C">
              <w:t>emptive resilience in networks</w:t>
            </w:r>
          </w:p>
        </w:tc>
        <w:tc>
          <w:tcPr>
            <w:tcW w:w="3969" w:type="dxa"/>
          </w:tcPr>
          <w:p w14:paraId="5E54A21F" w14:textId="77777777" w:rsidR="002442E0" w:rsidRPr="0093148C"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Efficacy over time depends on engagement during intervention; boosters may help</w:t>
            </w:r>
          </w:p>
          <w:p w14:paraId="6FDC65FC" w14:textId="77777777" w:rsidR="002442E0" w:rsidRPr="00425B1D" w:rsidRDefault="002442E0" w:rsidP="00EB160F">
            <w:pPr>
              <w:pStyle w:val="TableBullets"/>
              <w:cnfStyle w:val="000000100000" w:firstRow="0" w:lastRow="0" w:firstColumn="0" w:lastColumn="0" w:oddVBand="0" w:evenVBand="0" w:oddHBand="1" w:evenHBand="0" w:firstRowFirstColumn="0" w:firstRowLastColumn="0" w:lastRowFirstColumn="0" w:lastRowLastColumn="0"/>
            </w:pPr>
            <w:r w:rsidRPr="0093148C">
              <w:t xml:space="preserve">Unclear to what extent </w:t>
            </w:r>
            <w:proofErr w:type="spellStart"/>
            <w:r w:rsidRPr="0093148C">
              <w:t>prebunking</w:t>
            </w:r>
            <w:proofErr w:type="spellEnd"/>
            <w:r w:rsidRPr="0093148C">
              <w:t xml:space="preserve"> may lead to general scepticism</w:t>
            </w:r>
          </w:p>
        </w:tc>
      </w:tr>
      <w:tr w:rsidR="000E341E" w:rsidRPr="0093148C" w14:paraId="7671C90C" w14:textId="77777777" w:rsidTr="00EB160F">
        <w:tc>
          <w:tcPr>
            <w:cnfStyle w:val="001000000000" w:firstRow="0" w:lastRow="0" w:firstColumn="1" w:lastColumn="0" w:oddVBand="0" w:evenVBand="0" w:oddHBand="0" w:evenHBand="0" w:firstRowFirstColumn="0" w:firstRowLastColumn="0" w:lastRowFirstColumn="0" w:lastRowLastColumn="0"/>
            <w:tcW w:w="1838" w:type="dxa"/>
          </w:tcPr>
          <w:p w14:paraId="6B53D9A1" w14:textId="55109E07" w:rsidR="002442E0" w:rsidRPr="0093148C" w:rsidRDefault="002442E0" w:rsidP="00EB160F">
            <w:pPr>
              <w:pStyle w:val="TableText"/>
            </w:pPr>
            <w:r w:rsidRPr="0093148C">
              <w:t xml:space="preserve">Embedded </w:t>
            </w:r>
            <w:r w:rsidR="00AD265C">
              <w:t>media literacy</w:t>
            </w:r>
            <w:r>
              <w:t xml:space="preserve"> </w:t>
            </w:r>
            <w:r w:rsidR="6CB158EE">
              <w:t>t</w:t>
            </w:r>
            <w:r w:rsidRPr="0093148C">
              <w:t>ips</w:t>
            </w:r>
          </w:p>
        </w:tc>
        <w:tc>
          <w:tcPr>
            <w:tcW w:w="3969" w:type="dxa"/>
          </w:tcPr>
          <w:p w14:paraId="0AD0EBCE" w14:textId="77777777"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Highly scalable means of enhancing information discernment</w:t>
            </w:r>
          </w:p>
          <w:p w14:paraId="0BF2EA1F" w14:textId="161E880D"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Easily adaptable to different delivery formats such as pop</w:t>
            </w:r>
            <w:r w:rsidR="00783731">
              <w:noBreakHyphen/>
            </w:r>
            <w:r w:rsidRPr="0093148C">
              <w:t>up messages and short videos</w:t>
            </w:r>
          </w:p>
        </w:tc>
        <w:tc>
          <w:tcPr>
            <w:tcW w:w="3969" w:type="dxa"/>
          </w:tcPr>
          <w:p w14:paraId="010C6827" w14:textId="77777777"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 xml:space="preserve">Simple tips alone may not cover the complexity of modern misinformation tactics </w:t>
            </w:r>
          </w:p>
          <w:p w14:paraId="54045F2F" w14:textId="7D62C113"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Long</w:t>
            </w:r>
            <w:r w:rsidR="00783731">
              <w:noBreakHyphen/>
            </w:r>
            <w:r w:rsidRPr="0093148C">
              <w:t xml:space="preserve">term efficacy can be unclear </w:t>
            </w:r>
          </w:p>
          <w:p w14:paraId="46C45EB3" w14:textId="77777777" w:rsidR="002442E0" w:rsidRPr="0093148C" w:rsidRDefault="002442E0" w:rsidP="00EB160F">
            <w:pPr>
              <w:pStyle w:val="TableBullets"/>
              <w:cnfStyle w:val="000000000000" w:firstRow="0" w:lastRow="0" w:firstColumn="0" w:lastColumn="0" w:oddVBand="0" w:evenVBand="0" w:oddHBand="0" w:evenHBand="0" w:firstRowFirstColumn="0" w:firstRowLastColumn="0" w:lastRowFirstColumn="0" w:lastRowLastColumn="0"/>
            </w:pPr>
            <w:r w:rsidRPr="0093148C">
              <w:t>To increase reach, there is a need for ongoing collaboration with platforms for deployment</w:t>
            </w:r>
          </w:p>
        </w:tc>
      </w:tr>
    </w:tbl>
    <w:p w14:paraId="18139F3F" w14:textId="70B4BA15" w:rsidR="00C10507" w:rsidRPr="0093148C" w:rsidRDefault="00EB160F" w:rsidP="00EB160F">
      <w:pPr>
        <w:pStyle w:val="Captionsecondary"/>
      </w:pPr>
      <w:r w:rsidRPr="00EB160F">
        <w:t>Table 2</w:t>
      </w:r>
      <w:r>
        <w:t>c</w:t>
      </w:r>
      <w:r w:rsidRPr="00EB160F">
        <w:t xml:space="preserve">: </w:t>
      </w:r>
      <w:r w:rsidR="00C10507" w:rsidRPr="00EB160F">
        <w:t>Responsive interventions</w:t>
      </w:r>
      <w:r w:rsidR="00C10507">
        <w:t xml:space="preserve"> </w:t>
      </w:r>
      <w:r w:rsidR="000A2670">
        <w:t>–</w:t>
      </w:r>
      <w:r w:rsidR="00C10507">
        <w:t xml:space="preserve"> </w:t>
      </w:r>
      <w:r w:rsidR="1ECCD569">
        <w:t>c</w:t>
      </w:r>
      <w:r w:rsidR="00C10507">
        <w:t>ontextual</w:t>
      </w:r>
      <w:r w:rsidR="000A2670">
        <w:t xml:space="preserve"> </w:t>
      </w:r>
    </w:p>
    <w:tbl>
      <w:tblPr>
        <w:tblStyle w:val="ListTable3-Accent3"/>
        <w:tblW w:w="9776" w:type="dxa"/>
        <w:tblLook w:val="04A0" w:firstRow="1" w:lastRow="0" w:firstColumn="1" w:lastColumn="0" w:noHBand="0" w:noVBand="1"/>
      </w:tblPr>
      <w:tblGrid>
        <w:gridCol w:w="1838"/>
        <w:gridCol w:w="3969"/>
        <w:gridCol w:w="3969"/>
      </w:tblGrid>
      <w:tr w:rsidR="000E341E" w:rsidRPr="0093148C" w14:paraId="0DB9C19A" w14:textId="77777777" w:rsidTr="00EB16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43D0FC7E" w14:textId="77777777" w:rsidR="00C10507" w:rsidRPr="0093148C" w:rsidRDefault="00C10507" w:rsidP="00EB160F">
            <w:pPr>
              <w:pStyle w:val="TableText"/>
            </w:pPr>
            <w:r w:rsidRPr="0093148C">
              <w:t>Intervention</w:t>
            </w:r>
          </w:p>
        </w:tc>
        <w:tc>
          <w:tcPr>
            <w:tcW w:w="3969" w:type="dxa"/>
          </w:tcPr>
          <w:p w14:paraId="437347FD" w14:textId="77777777" w:rsidR="00C10507" w:rsidRPr="0093148C" w:rsidRDefault="00C10507" w:rsidP="00EB160F">
            <w:pPr>
              <w:pStyle w:val="TableText"/>
              <w:cnfStyle w:val="100000000000" w:firstRow="1" w:lastRow="0" w:firstColumn="0" w:lastColumn="0" w:oddVBand="0" w:evenVBand="0" w:oddHBand="0" w:evenHBand="0" w:firstRowFirstColumn="0" w:firstRowLastColumn="0" w:lastRowFirstColumn="0" w:lastRowLastColumn="0"/>
            </w:pPr>
            <w:r w:rsidRPr="0093148C">
              <w:t>Strengths</w:t>
            </w:r>
          </w:p>
        </w:tc>
        <w:tc>
          <w:tcPr>
            <w:tcW w:w="3969" w:type="dxa"/>
          </w:tcPr>
          <w:p w14:paraId="389D8310" w14:textId="77777777" w:rsidR="00C10507" w:rsidRPr="0093148C" w:rsidRDefault="00C10507" w:rsidP="00EB160F">
            <w:pPr>
              <w:pStyle w:val="TableText"/>
              <w:cnfStyle w:val="100000000000" w:firstRow="1" w:lastRow="0" w:firstColumn="0" w:lastColumn="0" w:oddVBand="0" w:evenVBand="0" w:oddHBand="0" w:evenHBand="0" w:firstRowFirstColumn="0" w:firstRowLastColumn="0" w:lastRowFirstColumn="0" w:lastRowLastColumn="0"/>
            </w:pPr>
            <w:r w:rsidRPr="0093148C">
              <w:t>Challenges</w:t>
            </w:r>
          </w:p>
        </w:tc>
      </w:tr>
      <w:tr w:rsidR="000E341E" w:rsidRPr="0093148C" w14:paraId="006282E6" w14:textId="77777777" w:rsidTr="00EB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44DAAF" w14:textId="77777777" w:rsidR="00C10507" w:rsidRPr="0093148C" w:rsidRDefault="00C10507" w:rsidP="00EB160F">
            <w:pPr>
              <w:pStyle w:val="TableText"/>
            </w:pPr>
            <w:r w:rsidRPr="0093148C">
              <w:t>Friction</w:t>
            </w:r>
          </w:p>
        </w:tc>
        <w:tc>
          <w:tcPr>
            <w:tcW w:w="3969" w:type="dxa"/>
          </w:tcPr>
          <w:p w14:paraId="2E8625B8" w14:textId="77777777" w:rsidR="00C10507" w:rsidRPr="0093148C" w:rsidRDefault="00C10507" w:rsidP="00EB160F">
            <w:pPr>
              <w:pStyle w:val="TableBullets"/>
              <w:cnfStyle w:val="000000100000" w:firstRow="0" w:lastRow="0" w:firstColumn="0" w:lastColumn="0" w:oddVBand="0" w:evenVBand="0" w:oddHBand="1" w:evenHBand="0" w:firstRowFirstColumn="0" w:firstRowLastColumn="0" w:lastRowFirstColumn="0" w:lastRowLastColumn="0"/>
            </w:pPr>
            <w:r w:rsidRPr="0093148C">
              <w:t>Highly scalable means of enhancing information discernment</w:t>
            </w:r>
          </w:p>
          <w:p w14:paraId="6B61DBE2" w14:textId="77777777" w:rsidR="00C10507" w:rsidRPr="0093148C" w:rsidRDefault="00C10507" w:rsidP="00EB160F">
            <w:pPr>
              <w:pStyle w:val="TableBullets"/>
              <w:cnfStyle w:val="000000100000" w:firstRow="0" w:lastRow="0" w:firstColumn="0" w:lastColumn="0" w:oddVBand="0" w:evenVBand="0" w:oddHBand="1" w:evenHBand="0" w:firstRowFirstColumn="0" w:firstRowLastColumn="0" w:lastRowFirstColumn="0" w:lastRowLastColumn="0"/>
            </w:pPr>
            <w:r w:rsidRPr="0093148C">
              <w:t>May have additive impact in combination with other interventions</w:t>
            </w:r>
          </w:p>
        </w:tc>
        <w:tc>
          <w:tcPr>
            <w:tcW w:w="3969" w:type="dxa"/>
          </w:tcPr>
          <w:p w14:paraId="243D575A" w14:textId="77777777" w:rsidR="00C10507" w:rsidRPr="0093148C" w:rsidRDefault="00C10507" w:rsidP="00EB160F">
            <w:pPr>
              <w:pStyle w:val="TableBullets"/>
              <w:cnfStyle w:val="000000100000" w:firstRow="0" w:lastRow="0" w:firstColumn="0" w:lastColumn="0" w:oddVBand="0" w:evenVBand="0" w:oddHBand="1" w:evenHBand="0" w:firstRowFirstColumn="0" w:firstRowLastColumn="0" w:lastRowFirstColumn="0" w:lastRowLastColumn="0"/>
            </w:pPr>
            <w:r w:rsidRPr="0093148C">
              <w:t>Requires collaboration with other platforms</w:t>
            </w:r>
          </w:p>
          <w:p w14:paraId="604CE10C" w14:textId="2CE0235D" w:rsidR="00C10507" w:rsidRPr="0093148C" w:rsidRDefault="00C10507" w:rsidP="00EB160F">
            <w:pPr>
              <w:pStyle w:val="TableBullets"/>
              <w:cnfStyle w:val="000000100000" w:firstRow="0" w:lastRow="0" w:firstColumn="0" w:lastColumn="0" w:oddVBand="0" w:evenVBand="0" w:oddHBand="1" w:evenHBand="0" w:firstRowFirstColumn="0" w:firstRowLastColumn="0" w:lastRowFirstColumn="0" w:lastRowLastColumn="0"/>
            </w:pPr>
            <w:r w:rsidRPr="0093148C">
              <w:t>Long term effic</w:t>
            </w:r>
            <w:r w:rsidR="004E2D80">
              <w:t>a</w:t>
            </w:r>
            <w:r w:rsidRPr="0093148C">
              <w:t>cy unclear</w:t>
            </w:r>
          </w:p>
        </w:tc>
      </w:tr>
    </w:tbl>
    <w:p w14:paraId="7EB70EAA" w14:textId="48F9E4A1" w:rsidR="00C10507" w:rsidRPr="00EB160F" w:rsidRDefault="00EB160F" w:rsidP="00EB160F">
      <w:pPr>
        <w:pStyle w:val="Captionsecondary"/>
      </w:pPr>
      <w:r w:rsidRPr="00EB160F">
        <w:t>Table 2</w:t>
      </w:r>
      <w:r>
        <w:t>d</w:t>
      </w:r>
      <w:r w:rsidRPr="00EB160F">
        <w:t xml:space="preserve">: </w:t>
      </w:r>
      <w:r w:rsidR="00C10507" w:rsidRPr="00EB160F">
        <w:t>Responsive interventions – Updating and Evaluation</w:t>
      </w:r>
    </w:p>
    <w:tbl>
      <w:tblPr>
        <w:tblStyle w:val="ListTable3-Accent3"/>
        <w:tblW w:w="9776" w:type="dxa"/>
        <w:tblLook w:val="04A0" w:firstRow="1" w:lastRow="0" w:firstColumn="1" w:lastColumn="0" w:noHBand="0" w:noVBand="1"/>
      </w:tblPr>
      <w:tblGrid>
        <w:gridCol w:w="1838"/>
        <w:gridCol w:w="3969"/>
        <w:gridCol w:w="3969"/>
      </w:tblGrid>
      <w:tr w:rsidR="000E341E" w:rsidRPr="0093148C" w14:paraId="1A533A63" w14:textId="77777777" w:rsidTr="00EB16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4FBA97C1" w14:textId="77777777" w:rsidR="00C10507" w:rsidRPr="0093148C" w:rsidRDefault="00C10507" w:rsidP="00567311">
            <w:pPr>
              <w:pStyle w:val="TableText"/>
            </w:pPr>
            <w:r w:rsidRPr="0093148C">
              <w:t>Intervention</w:t>
            </w:r>
          </w:p>
        </w:tc>
        <w:tc>
          <w:tcPr>
            <w:tcW w:w="3969" w:type="dxa"/>
          </w:tcPr>
          <w:p w14:paraId="445C94AA" w14:textId="77777777" w:rsidR="00C10507" w:rsidRPr="0093148C" w:rsidRDefault="00C10507" w:rsidP="00567311">
            <w:pPr>
              <w:pStyle w:val="TableText"/>
              <w:cnfStyle w:val="100000000000" w:firstRow="1" w:lastRow="0" w:firstColumn="0" w:lastColumn="0" w:oddVBand="0" w:evenVBand="0" w:oddHBand="0" w:evenHBand="0" w:firstRowFirstColumn="0" w:firstRowLastColumn="0" w:lastRowFirstColumn="0" w:lastRowLastColumn="0"/>
            </w:pPr>
            <w:r w:rsidRPr="0093148C">
              <w:t>Strengths</w:t>
            </w:r>
          </w:p>
        </w:tc>
        <w:tc>
          <w:tcPr>
            <w:tcW w:w="3969" w:type="dxa"/>
          </w:tcPr>
          <w:p w14:paraId="2EC01786" w14:textId="77777777" w:rsidR="00C10507" w:rsidRPr="0093148C" w:rsidRDefault="00C10507" w:rsidP="00567311">
            <w:pPr>
              <w:pStyle w:val="TableText"/>
              <w:cnfStyle w:val="100000000000" w:firstRow="1" w:lastRow="0" w:firstColumn="0" w:lastColumn="0" w:oddVBand="0" w:evenVBand="0" w:oddHBand="0" w:evenHBand="0" w:firstRowFirstColumn="0" w:firstRowLastColumn="0" w:lastRowFirstColumn="0" w:lastRowLastColumn="0"/>
            </w:pPr>
            <w:r w:rsidRPr="0093148C">
              <w:t>Challenges</w:t>
            </w:r>
          </w:p>
        </w:tc>
      </w:tr>
      <w:tr w:rsidR="000E341E" w:rsidRPr="0093148C" w14:paraId="122F6E43" w14:textId="77777777" w:rsidTr="00EB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F39F1E" w14:textId="77777777" w:rsidR="00C10507" w:rsidRPr="0093148C" w:rsidRDefault="00C10507" w:rsidP="00567311">
            <w:pPr>
              <w:pStyle w:val="TableText"/>
            </w:pPr>
            <w:r w:rsidRPr="0093148C">
              <w:t>Debunking</w:t>
            </w:r>
          </w:p>
        </w:tc>
        <w:tc>
          <w:tcPr>
            <w:tcW w:w="3969" w:type="dxa"/>
          </w:tcPr>
          <w:p w14:paraId="6E2BE962" w14:textId="77777777"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Provides an effective targeted response when misinformation has spread widely</w:t>
            </w:r>
          </w:p>
          <w:p w14:paraId="25A54A3E" w14:textId="77777777"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Can support belief updating across domains such as science and health</w:t>
            </w:r>
          </w:p>
        </w:tc>
        <w:tc>
          <w:tcPr>
            <w:tcW w:w="3969" w:type="dxa"/>
          </w:tcPr>
          <w:p w14:paraId="511DE6E4" w14:textId="77777777"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Can only be applied retroactively</w:t>
            </w:r>
          </w:p>
          <w:p w14:paraId="032FA5C7" w14:textId="229F4C1C"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May only have short</w:t>
            </w:r>
            <w:r w:rsidR="00783731">
              <w:noBreakHyphen/>
            </w:r>
            <w:r w:rsidRPr="0093148C">
              <w:t>term impacts; boosters may be needed</w:t>
            </w:r>
          </w:p>
          <w:p w14:paraId="55F77AD0" w14:textId="77777777"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Potential to inadvertently contribute to</w:t>
            </w:r>
            <w:r w:rsidR="000A2670">
              <w:t xml:space="preserve"> the amplification of</w:t>
            </w:r>
            <w:r w:rsidRPr="0093148C">
              <w:t xml:space="preserve"> </w:t>
            </w:r>
            <w:proofErr w:type="spellStart"/>
            <w:r w:rsidRPr="0093148C">
              <w:t>misinformers</w:t>
            </w:r>
            <w:proofErr w:type="spellEnd"/>
            <w:r w:rsidRPr="0093148C">
              <w:t xml:space="preserve"> if using their framing</w:t>
            </w:r>
          </w:p>
        </w:tc>
      </w:tr>
      <w:tr w:rsidR="000E341E" w:rsidRPr="0093148C" w14:paraId="3B19801B" w14:textId="77777777" w:rsidTr="00EB160F">
        <w:tc>
          <w:tcPr>
            <w:cnfStyle w:val="001000000000" w:firstRow="0" w:lastRow="0" w:firstColumn="1" w:lastColumn="0" w:oddVBand="0" w:evenVBand="0" w:oddHBand="0" w:evenHBand="0" w:firstRowFirstColumn="0" w:firstRowLastColumn="0" w:lastRowFirstColumn="0" w:lastRowLastColumn="0"/>
            <w:tcW w:w="1838" w:type="dxa"/>
          </w:tcPr>
          <w:p w14:paraId="40A5ABA6" w14:textId="49C8550E" w:rsidR="00C10507" w:rsidRPr="0093148C" w:rsidRDefault="00C10507" w:rsidP="00567311">
            <w:pPr>
              <w:pStyle w:val="TableText"/>
            </w:pPr>
            <w:r>
              <w:t xml:space="preserve">Source </w:t>
            </w:r>
            <w:r w:rsidR="21362EED">
              <w:t>d</w:t>
            </w:r>
            <w:r>
              <w:t xml:space="preserve">iscreditation </w:t>
            </w:r>
          </w:p>
        </w:tc>
        <w:tc>
          <w:tcPr>
            <w:tcW w:w="3969" w:type="dxa"/>
          </w:tcPr>
          <w:p w14:paraId="2EB6D8B2" w14:textId="77777777" w:rsidR="00C10507" w:rsidRPr="0093148C" w:rsidRDefault="00C10507" w:rsidP="00567311">
            <w:pPr>
              <w:pStyle w:val="TableBullets"/>
              <w:cnfStyle w:val="000000000000" w:firstRow="0" w:lastRow="0" w:firstColumn="0" w:lastColumn="0" w:oddVBand="0" w:evenVBand="0" w:oddHBand="0" w:evenHBand="0" w:firstRowFirstColumn="0" w:firstRowLastColumn="0" w:lastRowFirstColumn="0" w:lastRowLastColumn="0"/>
            </w:pPr>
            <w:r w:rsidRPr="0093148C">
              <w:t>Can easily be used in conjunction with other interventions to enhance their efficacy</w:t>
            </w:r>
          </w:p>
        </w:tc>
        <w:tc>
          <w:tcPr>
            <w:tcW w:w="3969" w:type="dxa"/>
          </w:tcPr>
          <w:p w14:paraId="37A3F2E4" w14:textId="77777777" w:rsidR="00C10507" w:rsidRPr="0093148C" w:rsidRDefault="00C10507" w:rsidP="00567311">
            <w:pPr>
              <w:pStyle w:val="TableBullets"/>
              <w:cnfStyle w:val="000000000000" w:firstRow="0" w:lastRow="0" w:firstColumn="0" w:lastColumn="0" w:oddVBand="0" w:evenVBand="0" w:oddHBand="0" w:evenHBand="0" w:firstRowFirstColumn="0" w:firstRowLastColumn="0" w:lastRowFirstColumn="0" w:lastRowLastColumn="0"/>
            </w:pPr>
            <w:r w:rsidRPr="0093148C">
              <w:t>Best applied to cases where clear evidence of intentional deception exists</w:t>
            </w:r>
          </w:p>
          <w:p w14:paraId="27A9E095" w14:textId="77777777" w:rsidR="00C10507" w:rsidRPr="0093148C" w:rsidRDefault="00C10507" w:rsidP="00567311">
            <w:pPr>
              <w:pStyle w:val="TableBullets"/>
              <w:cnfStyle w:val="000000000000" w:firstRow="0" w:lastRow="0" w:firstColumn="0" w:lastColumn="0" w:oddVBand="0" w:evenVBand="0" w:oddHBand="0" w:evenHBand="0" w:firstRowFirstColumn="0" w:firstRowLastColumn="0" w:lastRowFirstColumn="0" w:lastRowLastColumn="0"/>
            </w:pPr>
            <w:r w:rsidRPr="0093148C">
              <w:t xml:space="preserve">Risk of </w:t>
            </w:r>
            <w:proofErr w:type="spellStart"/>
            <w:r w:rsidRPr="0093148C">
              <w:t>antagonisation</w:t>
            </w:r>
            <w:proofErr w:type="spellEnd"/>
          </w:p>
        </w:tc>
      </w:tr>
      <w:tr w:rsidR="000E341E" w:rsidRPr="0093148C" w14:paraId="248488E4" w14:textId="77777777" w:rsidTr="00EB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546CB1" w14:textId="77777777" w:rsidR="00C10507" w:rsidRPr="0093148C" w:rsidRDefault="00C10507" w:rsidP="00567311">
            <w:pPr>
              <w:pStyle w:val="TableText"/>
            </w:pPr>
            <w:r w:rsidRPr="0093148C">
              <w:t>Crowdsourcing</w:t>
            </w:r>
          </w:p>
        </w:tc>
        <w:tc>
          <w:tcPr>
            <w:tcW w:w="3969" w:type="dxa"/>
          </w:tcPr>
          <w:p w14:paraId="2DDA96D2" w14:textId="77777777"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Engages the public in generating knowledge and identifying misinformation</w:t>
            </w:r>
          </w:p>
          <w:p w14:paraId="35D8CBEF" w14:textId="77777777"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Does not require interveners to act as sole arbiters of truth</w:t>
            </w:r>
          </w:p>
        </w:tc>
        <w:tc>
          <w:tcPr>
            <w:tcW w:w="3969" w:type="dxa"/>
          </w:tcPr>
          <w:p w14:paraId="59145AE7" w14:textId="75BF7210"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Quality</w:t>
            </w:r>
            <w:r w:rsidR="00783731">
              <w:noBreakHyphen/>
            </w:r>
            <w:r w:rsidRPr="0093148C">
              <w:t>control guardrails needed</w:t>
            </w:r>
          </w:p>
          <w:p w14:paraId="7CF029E7" w14:textId="77777777" w:rsidR="00C10507" w:rsidRPr="0093148C" w:rsidRDefault="00C10507" w:rsidP="00567311">
            <w:pPr>
              <w:pStyle w:val="TableBullets"/>
              <w:cnfStyle w:val="000000100000" w:firstRow="0" w:lastRow="0" w:firstColumn="0" w:lastColumn="0" w:oddVBand="0" w:evenVBand="0" w:oddHBand="1" w:evenHBand="0" w:firstRowFirstColumn="0" w:firstRowLastColumn="0" w:lastRowFirstColumn="0" w:lastRowLastColumn="0"/>
            </w:pPr>
            <w:r w:rsidRPr="0093148C">
              <w:t>May be prone to bias or manipulation by nefarious actors if not supported</w:t>
            </w:r>
          </w:p>
        </w:tc>
      </w:tr>
    </w:tbl>
    <w:p w14:paraId="17B522D2" w14:textId="77777777" w:rsidR="000A2670" w:rsidRPr="00FD5368" w:rsidRDefault="000A2670" w:rsidP="00FD5368">
      <w:r w:rsidRPr="00FD5368">
        <w:br w:type="page"/>
      </w:r>
    </w:p>
    <w:p w14:paraId="00A17CBC" w14:textId="533CA14B" w:rsidR="00FD5368" w:rsidRPr="00091D7B" w:rsidRDefault="00C10507" w:rsidP="00091D7B">
      <w:pPr>
        <w:pStyle w:val="Heading2Numbered"/>
      </w:pPr>
      <w:bookmarkStart w:id="64" w:name="_Toc218511675"/>
      <w:bookmarkStart w:id="65" w:name="_Toc204091420"/>
      <w:r w:rsidRPr="00091D7B">
        <w:t xml:space="preserve">Opportunities in the Australian </w:t>
      </w:r>
      <w:r w:rsidR="4518AE4E" w:rsidRPr="00091D7B">
        <w:t>c</w:t>
      </w:r>
      <w:r w:rsidRPr="00091D7B">
        <w:t>ontext</w:t>
      </w:r>
      <w:bookmarkEnd w:id="64"/>
      <w:r w:rsidRPr="00091D7B">
        <w:t xml:space="preserve"> </w:t>
      </w:r>
    </w:p>
    <w:p w14:paraId="1B059B7F" w14:textId="6CDC5346" w:rsidR="00C10507" w:rsidRPr="00FD5368" w:rsidRDefault="00C10507" w:rsidP="00FD5368">
      <w:pPr>
        <w:pStyle w:val="Heading3Numbered"/>
      </w:pPr>
      <w:bookmarkStart w:id="66" w:name="_Toc218511676"/>
      <w:r w:rsidRPr="00FD5368">
        <w:t xml:space="preserve">Understanding </w:t>
      </w:r>
      <w:r w:rsidR="0F4F4D10" w:rsidRPr="00FD5368">
        <w:t>e</w:t>
      </w:r>
      <w:r w:rsidRPr="00FD5368">
        <w:t xml:space="preserve">fficacy in the </w:t>
      </w:r>
      <w:r w:rsidR="42FF974F" w:rsidRPr="00FD5368">
        <w:t>l</w:t>
      </w:r>
      <w:r w:rsidRPr="00FD5368">
        <w:t xml:space="preserve">ocal </w:t>
      </w:r>
      <w:r w:rsidR="0C2086D7" w:rsidRPr="00FD5368">
        <w:t>c</w:t>
      </w:r>
      <w:r w:rsidRPr="00FD5368">
        <w:t>ontext</w:t>
      </w:r>
      <w:bookmarkEnd w:id="65"/>
      <w:bookmarkEnd w:id="66"/>
    </w:p>
    <w:p w14:paraId="12B11280" w14:textId="28381378" w:rsidR="00C10507" w:rsidRPr="0093148C" w:rsidRDefault="00C10507" w:rsidP="00425B1D">
      <w:r>
        <w:t xml:space="preserve">The large majority of intervention research has been conducted in North America and Europe, meaning the weight of evidence has emerged from the Global North. Findings from other </w:t>
      </w:r>
      <w:r w:rsidR="7046CD5E">
        <w:t>w</w:t>
      </w:r>
      <w:r>
        <w:t>estern, liberal</w:t>
      </w:r>
      <w:r w:rsidR="00783731">
        <w:noBreakHyphen/>
      </w:r>
      <w:r>
        <w:t xml:space="preserve">democratic countries are likely applicable to the Australian context, although there is some evidence of variation in sensitivity to interventions in the context of political misinformation </w:t>
      </w:r>
      <w:r w:rsidR="00051F06">
        <w:t>(Aird et al. 2018)</w:t>
      </w:r>
      <w:r>
        <w:t xml:space="preserve">, which may reflect a relatively less polarised Australian political environment. While some interventions have been tested directly in Australia </w:t>
      </w:r>
      <w:r w:rsidR="00051F06">
        <w:t>(e.g., Aird et al. 2018;</w:t>
      </w:r>
      <w:r>
        <w:t xml:space="preserve"> Ecker et al. 2014; Paynter et al. 2019), there remains a need for more locally conducted research to better understand information resilience along with intervention efficacy in the Australian context. </w:t>
      </w:r>
    </w:p>
    <w:p w14:paraId="412B1C5F" w14:textId="3A3E14DB" w:rsidR="00C10507" w:rsidRPr="00091D7B" w:rsidRDefault="00C10507" w:rsidP="00091D7B">
      <w:r w:rsidRPr="00091D7B">
        <w:t xml:space="preserve">In particular, there is a lack of research focused on understanding interventions in Indigenous </w:t>
      </w:r>
      <w:r w:rsidR="2D5C1C7B" w:rsidRPr="00091D7B">
        <w:t>communities,</w:t>
      </w:r>
      <w:r w:rsidRPr="00091D7B">
        <w:t xml:space="preserve"> and </w:t>
      </w:r>
      <w:r w:rsidR="00620677" w:rsidRPr="00091D7B">
        <w:t xml:space="preserve">research </w:t>
      </w:r>
      <w:r w:rsidRPr="00091D7B">
        <w:t xml:space="preserve">which is sensitive to diverse communication channels and the needs of multicultural communities in Australia </w:t>
      </w:r>
      <w:r w:rsidR="00051F06" w:rsidRPr="00091D7B">
        <w:t>(see Notley et al. 2024)</w:t>
      </w:r>
      <w:r w:rsidRPr="00091D7B">
        <w:t xml:space="preserve">. While there is some evidence of variation in intervention efficacy across rural and urban settings, these data are limited </w:t>
      </w:r>
      <w:r w:rsidR="00051F06" w:rsidRPr="00091D7B">
        <w:t>(Guess et al. 2020)</w:t>
      </w:r>
      <w:r w:rsidRPr="00091D7B">
        <w:t xml:space="preserve"> and little is known regarding the extent to which these factors impact efficacy in Australia or the Asia Pacific Region more broadly. Globally, there remains a significant gap in the current research regarding the cultural and collective factors that may amplify or interact with intervention efficacy </w:t>
      </w:r>
      <w:r w:rsidR="00051F06" w:rsidRPr="00091D7B">
        <w:t>(Brashier 2024)</w:t>
      </w:r>
      <w:r w:rsidRPr="00091D7B">
        <w:t>.</w:t>
      </w:r>
    </w:p>
    <w:p w14:paraId="2DEC3C0F" w14:textId="1A519B8A" w:rsidR="00C10507" w:rsidRPr="0093148C" w:rsidRDefault="00C10507" w:rsidP="00425B1D">
      <w:r w:rsidRPr="0093148C">
        <w:t>In identifying and addressing misinformation, multilingual approaches should be applied to both monitoring for emerging misinformation themes and the development of interventions. Moreover, sensitivity to the digital divide is critical, as interventions are often technology</w:t>
      </w:r>
      <w:r w:rsidR="00783731">
        <w:noBreakHyphen/>
      </w:r>
      <w:r w:rsidRPr="0093148C">
        <w:t xml:space="preserve">based and could amplify existing inequalities in educational access and social inclusion </w:t>
      </w:r>
      <w:r w:rsidR="00051F06">
        <w:t>(</w:t>
      </w:r>
      <w:proofErr w:type="spellStart"/>
      <w:r w:rsidR="00051F06" w:rsidRPr="0093148C">
        <w:t>Lythreatis</w:t>
      </w:r>
      <w:proofErr w:type="spellEnd"/>
      <w:r w:rsidR="00051F06" w:rsidRPr="0093148C">
        <w:t xml:space="preserve"> et al.</w:t>
      </w:r>
      <w:r w:rsidR="00051F06">
        <w:t xml:space="preserve"> </w:t>
      </w:r>
      <w:r w:rsidR="00051F06" w:rsidRPr="0093148C">
        <w:t>2022;</w:t>
      </w:r>
      <w:r w:rsidRPr="0093148C">
        <w:t xml:space="preserve"> see also Thomas et al. 2021). Strategic resource planning and equity are therefore of critical importance.</w:t>
      </w:r>
    </w:p>
    <w:p w14:paraId="5AC8D33B" w14:textId="20AFBF78" w:rsidR="00C10507" w:rsidRPr="00620431" w:rsidRDefault="00C10507" w:rsidP="00FD5368">
      <w:pPr>
        <w:pStyle w:val="Heading3Numbered"/>
      </w:pPr>
      <w:bookmarkStart w:id="67" w:name="_Toc218511677"/>
      <w:r w:rsidRPr="00620431">
        <w:t xml:space="preserve">Targeting </w:t>
      </w:r>
      <w:r w:rsidR="7B7A69B6">
        <w:t>i</w:t>
      </w:r>
      <w:r w:rsidRPr="00620431">
        <w:t xml:space="preserve">nformation </w:t>
      </w:r>
      <w:r w:rsidR="7A1409E0">
        <w:t>v</w:t>
      </w:r>
      <w:r w:rsidRPr="00620431">
        <w:t xml:space="preserve">erification and </w:t>
      </w:r>
      <w:r w:rsidR="6195FAFD">
        <w:t>m</w:t>
      </w:r>
      <w:r>
        <w:t>aking</w:t>
      </w:r>
      <w:r w:rsidR="000822DE">
        <w:t> </w:t>
      </w:r>
      <w:r w:rsidR="2C1DD3C3">
        <w:t>s</w:t>
      </w:r>
      <w:r w:rsidRPr="00620431">
        <w:t xml:space="preserve">pace for </w:t>
      </w:r>
      <w:r w:rsidR="68885A57">
        <w:t>m</w:t>
      </w:r>
      <w:r w:rsidRPr="00620431">
        <w:t xml:space="preserve">edia and </w:t>
      </w:r>
      <w:r w:rsidR="28CB9631">
        <w:t>d</w:t>
      </w:r>
      <w:r>
        <w:t>igital</w:t>
      </w:r>
      <w:r w:rsidR="000822DE">
        <w:t> </w:t>
      </w:r>
      <w:r w:rsidR="405A15AA">
        <w:t>l</w:t>
      </w:r>
      <w:r w:rsidRPr="00620431">
        <w:t>iteracy in</w:t>
      </w:r>
      <w:r w:rsidR="000822DE">
        <w:t> </w:t>
      </w:r>
      <w:r w:rsidRPr="00620431">
        <w:t>the</w:t>
      </w:r>
      <w:r w:rsidR="000822DE">
        <w:t> </w:t>
      </w:r>
      <w:r w:rsidR="3F18B8A7">
        <w:t>c</w:t>
      </w:r>
      <w:r w:rsidRPr="00620431">
        <w:t>lassroom</w:t>
      </w:r>
      <w:bookmarkEnd w:id="67"/>
    </w:p>
    <w:p w14:paraId="655C58B8" w14:textId="65206B45" w:rsidR="00A253E2" w:rsidRPr="0093148C" w:rsidRDefault="00AD265C" w:rsidP="00425B1D">
      <w:r>
        <w:t>Information literacy</w:t>
      </w:r>
      <w:r w:rsidR="00C10507" w:rsidRPr="0093148C">
        <w:t xml:space="preserve"> research suggests that students require a more comprehensive toolkit to effectively navigate the contemporary information environment than is currently provided through the Australian curriculum (e.g., flexible application of fact</w:t>
      </w:r>
      <w:r w:rsidR="00783731">
        <w:noBreakHyphen/>
      </w:r>
      <w:r w:rsidR="00C10507" w:rsidRPr="0093148C">
        <w:t>checking via lateral reading and/or deep, critical analysis, depending on context and perceived source credibility). However, teaching effective assessments of information credibility is hampered by several factors.</w:t>
      </w:r>
    </w:p>
    <w:p w14:paraId="0F7A8974" w14:textId="702C1B34" w:rsidR="00C10507" w:rsidRPr="0093148C" w:rsidRDefault="00C10507" w:rsidP="00425B1D">
      <w:r>
        <w:t xml:space="preserve">Historically, </w:t>
      </w:r>
      <w:r w:rsidR="00AD265C">
        <w:t>media literacy</w:t>
      </w:r>
      <w:r>
        <w:t xml:space="preserve"> education in Australian schools was part of </w:t>
      </w:r>
      <w:r w:rsidR="049594CD">
        <w:t>m</w:t>
      </w:r>
      <w:r>
        <w:t xml:space="preserve">edia </w:t>
      </w:r>
      <w:r w:rsidR="1502A3CD">
        <w:t>a</w:t>
      </w:r>
      <w:r>
        <w:t xml:space="preserve">rts, so the focus was often placed on </w:t>
      </w:r>
      <w:r w:rsidR="324829C8">
        <w:t>‘</w:t>
      </w:r>
      <w:r>
        <w:t>digital media production skills and participation over the development of critical literacies</w:t>
      </w:r>
      <w:r w:rsidR="4B0EC1F0">
        <w:t>’</w:t>
      </w:r>
      <w:r>
        <w:t xml:space="preserve"> (</w:t>
      </w:r>
      <w:proofErr w:type="spellStart"/>
      <w:r>
        <w:t>Nettlefold</w:t>
      </w:r>
      <w:proofErr w:type="spellEnd"/>
      <w:r>
        <w:t xml:space="preserve"> </w:t>
      </w:r>
      <w:r w:rsidR="00051F06">
        <w:t>and</w:t>
      </w:r>
      <w:r>
        <w:t xml:space="preserve"> Williams 2018). </w:t>
      </w:r>
      <w:r w:rsidR="00A705CD">
        <w:t>Further, prevalent conceptual frameworks or ‘General Capabilities’ and practical resources or ‘Curriculum Connections’ in the Australian Curriculum are ill</w:t>
      </w:r>
      <w:r w:rsidR="00A705CD">
        <w:noBreakHyphen/>
        <w:t>equipped to deal with information over</w:t>
      </w:r>
      <w:r w:rsidR="00A705CD">
        <w:noBreakHyphen/>
        <w:t xml:space="preserve">abundance. A clear illustration of these structural factors was provided when, following the 2019 Digital Platforms Inquiry (ACCC 2019), </w:t>
      </w:r>
      <w:r w:rsidR="00A705CD" w:rsidRPr="00316A20">
        <w:t>the Australian Curriculum, Assessment and Reporting Authority</w:t>
      </w:r>
      <w:r w:rsidR="00A705CD">
        <w:t xml:space="preserve"> (ACARA) was instructed to incorporate in their 2020 review how media literacy was being taught in the curriculum.</w:t>
      </w:r>
    </w:p>
    <w:p w14:paraId="22C48654" w14:textId="7BEE3D53" w:rsidR="00C10507" w:rsidRPr="00091D7B" w:rsidRDefault="00C10507" w:rsidP="00091D7B">
      <w:r w:rsidRPr="00091D7B">
        <w:t>The Australian Media Literacy Alliance proposed a Media Literacy Framework to inform the Inquiry. This</w:t>
      </w:r>
      <w:r w:rsidR="000822DE" w:rsidRPr="00091D7B">
        <w:t> </w:t>
      </w:r>
      <w:r w:rsidR="144C3066" w:rsidRPr="00091D7B">
        <w:t>f</w:t>
      </w:r>
      <w:r w:rsidRPr="00091D7B">
        <w:t xml:space="preserve">ramework defined </w:t>
      </w:r>
      <w:r w:rsidR="7F07E57F" w:rsidRPr="00091D7B">
        <w:t>m</w:t>
      </w:r>
      <w:r w:rsidRPr="00091D7B">
        <w:t xml:space="preserve">edia </w:t>
      </w:r>
      <w:r w:rsidR="70B47C3F" w:rsidRPr="00091D7B">
        <w:t>l</w:t>
      </w:r>
      <w:r w:rsidRPr="00091D7B">
        <w:t xml:space="preserve">iteracy as required to </w:t>
      </w:r>
      <w:r w:rsidR="45FE4587" w:rsidRPr="00091D7B">
        <w:t>‘</w:t>
      </w:r>
      <w:r w:rsidRPr="00091D7B">
        <w:t>receive, verify and share information</w:t>
      </w:r>
      <w:r w:rsidR="3A73CCBD" w:rsidRPr="00091D7B">
        <w:t>’</w:t>
      </w:r>
      <w:r w:rsidRPr="00091D7B">
        <w:t xml:space="preserve">, but neither its </w:t>
      </w:r>
      <w:r w:rsidR="2754D60C" w:rsidRPr="00091D7B">
        <w:t>‘</w:t>
      </w:r>
      <w:r w:rsidRPr="00091D7B">
        <w:t>Ten Competencies</w:t>
      </w:r>
      <w:r w:rsidR="01B25075" w:rsidRPr="00091D7B">
        <w:t>’</w:t>
      </w:r>
      <w:r w:rsidRPr="00091D7B">
        <w:t xml:space="preserve"> nor its </w:t>
      </w:r>
      <w:r w:rsidR="32893858" w:rsidRPr="00091D7B">
        <w:t>‘</w:t>
      </w:r>
      <w:r w:rsidRPr="00091D7B">
        <w:t>Key Concepts</w:t>
      </w:r>
      <w:r w:rsidR="7410F42D" w:rsidRPr="00091D7B">
        <w:t>’</w:t>
      </w:r>
      <w:r w:rsidRPr="00091D7B">
        <w:t xml:space="preserve"> included verification as operationalised in the evidence</w:t>
      </w:r>
      <w:r w:rsidR="00783731" w:rsidRPr="00091D7B">
        <w:noBreakHyphen/>
      </w:r>
      <w:r w:rsidRPr="00091D7B">
        <w:t xml:space="preserve">based lateral reading literature </w:t>
      </w:r>
      <w:r w:rsidR="00051F06" w:rsidRPr="00091D7B">
        <w:t>(AMLA 2021)</w:t>
      </w:r>
      <w:r w:rsidRPr="00091D7B">
        <w:t xml:space="preserve">. </w:t>
      </w:r>
      <w:r w:rsidR="00033A50">
        <w:t>Effective v</w:t>
      </w:r>
      <w:r w:rsidRPr="00091D7B">
        <w:t xml:space="preserve">erification skills were also </w:t>
      </w:r>
      <w:r w:rsidR="00503C1B">
        <w:t>lacking</w:t>
      </w:r>
      <w:r w:rsidRPr="00091D7B">
        <w:t xml:space="preserve"> in a new version of the Curriculum (released in 2022) informed by AMLA’s Framework.</w:t>
      </w:r>
    </w:p>
    <w:p w14:paraId="6862052D" w14:textId="7BF35EE8" w:rsidR="00C10507" w:rsidRPr="00224B7E" w:rsidRDefault="64E45CD3" w:rsidP="00425B1D">
      <w:pPr>
        <w:rPr>
          <w:spacing w:val="-1"/>
        </w:rPr>
      </w:pPr>
      <w:r w:rsidRPr="00224B7E">
        <w:rPr>
          <w:spacing w:val="-1"/>
        </w:rPr>
        <w:t xml:space="preserve">Finnish teachers can access constant upskilling, with their own digital literacy a vital part of professional development (Saari </w:t>
      </w:r>
      <w:r w:rsidR="00051F06" w:rsidRPr="00224B7E">
        <w:rPr>
          <w:spacing w:val="-1"/>
        </w:rPr>
        <w:t>and</w:t>
      </w:r>
      <w:r w:rsidRPr="00224B7E">
        <w:rPr>
          <w:spacing w:val="-1"/>
        </w:rPr>
        <w:t xml:space="preserve"> </w:t>
      </w:r>
      <w:proofErr w:type="spellStart"/>
      <w:r w:rsidRPr="00224B7E">
        <w:rPr>
          <w:spacing w:val="-1"/>
        </w:rPr>
        <w:t>Säntti</w:t>
      </w:r>
      <w:proofErr w:type="spellEnd"/>
      <w:r w:rsidRPr="00224B7E">
        <w:rPr>
          <w:spacing w:val="-1"/>
        </w:rPr>
        <w:t xml:space="preserve"> 2017). A common, government</w:t>
      </w:r>
      <w:r w:rsidR="00783731" w:rsidRPr="00224B7E">
        <w:rPr>
          <w:spacing w:val="-1"/>
        </w:rPr>
        <w:noBreakHyphen/>
      </w:r>
      <w:r w:rsidRPr="00224B7E">
        <w:rPr>
          <w:spacing w:val="-1"/>
        </w:rPr>
        <w:t xml:space="preserve">supported platform (e.g., modelled on the Estonian </w:t>
      </w:r>
      <w:r w:rsidR="20487133" w:rsidRPr="00224B7E">
        <w:rPr>
          <w:spacing w:val="-1"/>
        </w:rPr>
        <w:t>‘</w:t>
      </w:r>
      <w:r w:rsidRPr="00224B7E">
        <w:rPr>
          <w:spacing w:val="-1"/>
        </w:rPr>
        <w:t>Sisuloome</w:t>
      </w:r>
      <w:r w:rsidR="3BF26FDA" w:rsidRPr="00224B7E">
        <w:rPr>
          <w:spacing w:val="-1"/>
        </w:rPr>
        <w:t>’</w:t>
      </w:r>
      <w:r w:rsidRPr="00224B7E">
        <w:rPr>
          <w:spacing w:val="-1"/>
        </w:rPr>
        <w:t>) for teachers to share lesson plans, or create and adapt lesson plans from templates produced by other teachers, could be very useful in the Australian context.</w:t>
      </w:r>
      <w:r w:rsidR="00424334" w:rsidRPr="00224B7E">
        <w:rPr>
          <w:rStyle w:val="FootnoteReference"/>
          <w:spacing w:val="-1"/>
        </w:rPr>
        <w:footnoteReference w:id="5"/>
      </w:r>
      <w:r w:rsidRPr="00224B7E">
        <w:rPr>
          <w:spacing w:val="-1"/>
        </w:rPr>
        <w:t xml:space="preserve"> Locally, research has shown that teachers are keen to teach media and information literacy, but they need more time, space, teacher training, and high</w:t>
      </w:r>
      <w:r w:rsidR="00783731" w:rsidRPr="00224B7E">
        <w:rPr>
          <w:spacing w:val="-1"/>
        </w:rPr>
        <w:noBreakHyphen/>
      </w:r>
      <w:r w:rsidRPr="00224B7E">
        <w:rPr>
          <w:spacing w:val="-1"/>
        </w:rPr>
        <w:t>quality curriculum</w:t>
      </w:r>
      <w:r w:rsidR="00783731" w:rsidRPr="00224B7E">
        <w:rPr>
          <w:spacing w:val="-1"/>
        </w:rPr>
        <w:noBreakHyphen/>
      </w:r>
      <w:r w:rsidRPr="00224B7E">
        <w:rPr>
          <w:spacing w:val="-1"/>
        </w:rPr>
        <w:t xml:space="preserve">aligned learning resources </w:t>
      </w:r>
      <w:r w:rsidR="00051F06" w:rsidRPr="00224B7E">
        <w:rPr>
          <w:spacing w:val="-1"/>
        </w:rPr>
        <w:t>(Corser et al. 2022)</w:t>
      </w:r>
      <w:r w:rsidRPr="00224B7E">
        <w:rPr>
          <w:spacing w:val="-1"/>
        </w:rPr>
        <w:t>. A</w:t>
      </w:r>
      <w:r w:rsidR="00224B7E">
        <w:rPr>
          <w:spacing w:val="-1"/>
        </w:rPr>
        <w:t> </w:t>
      </w:r>
      <w:r w:rsidRPr="00224B7E">
        <w:rPr>
          <w:spacing w:val="-1"/>
        </w:rPr>
        <w:t>systematic review of the Australian Curriculum, which is beyond the scope of this report, would help to determine the optimal course of action: either identifying where improved information</w:t>
      </w:r>
      <w:r w:rsidR="00783731" w:rsidRPr="00224B7E">
        <w:rPr>
          <w:spacing w:val="-1"/>
        </w:rPr>
        <w:noBreakHyphen/>
      </w:r>
      <w:r w:rsidRPr="00224B7E">
        <w:rPr>
          <w:spacing w:val="-1"/>
        </w:rPr>
        <w:t xml:space="preserve">credibility assessments would best be articulated with existing General Capabilities and </w:t>
      </w:r>
      <w:r w:rsidR="00503C1B">
        <w:rPr>
          <w:spacing w:val="-1"/>
        </w:rPr>
        <w:t>Curriculum Connections</w:t>
      </w:r>
      <w:r w:rsidRPr="00224B7E">
        <w:rPr>
          <w:spacing w:val="-1"/>
        </w:rPr>
        <w:t xml:space="preserve">, or creating a new General Capability: </w:t>
      </w:r>
      <w:r w:rsidR="611468FB" w:rsidRPr="00224B7E">
        <w:rPr>
          <w:spacing w:val="-1"/>
        </w:rPr>
        <w:t>v</w:t>
      </w:r>
      <w:r w:rsidRPr="00224B7E">
        <w:rPr>
          <w:spacing w:val="-1"/>
        </w:rPr>
        <w:t>erification (the latter option would have the benefit of highlighting its vital importance).</w:t>
      </w:r>
    </w:p>
    <w:p w14:paraId="5ECD1E21" w14:textId="721437C7" w:rsidR="00AB425D" w:rsidRPr="00264163" w:rsidRDefault="75D5F68F" w:rsidP="00425B1D">
      <w:r>
        <w:t xml:space="preserve">While the curriculum is designed at the federal level, its implementation varies between states and territories, and between public and private schools. There is thus a case to be made that, given their central importance for Australian democracy, information, media and </w:t>
      </w:r>
      <w:r w:rsidRPr="00264163">
        <w:t>digital literacies, as well as civics education ought to be rigorously and consistently applied across regions, schools, year levels, and subject areas. This could be achieved by instituting (for example) a non</w:t>
      </w:r>
      <w:r w:rsidR="00783731">
        <w:noBreakHyphen/>
      </w:r>
      <w:r w:rsidRPr="00264163">
        <w:t xml:space="preserve">partisan </w:t>
      </w:r>
      <w:r w:rsidR="2F415E88" w:rsidRPr="00264163">
        <w:t>‘</w:t>
      </w:r>
      <w:r w:rsidRPr="00264163">
        <w:t>Civic Information Literacy Certificate</w:t>
      </w:r>
      <w:r w:rsidR="28A5803D" w:rsidRPr="00264163">
        <w:t>’</w:t>
      </w:r>
      <w:r w:rsidRPr="00264163">
        <w:t xml:space="preserve"> which all Australian school children must obtain </w:t>
      </w:r>
      <w:r w:rsidR="00051F06">
        <w:t>(</w:t>
      </w:r>
      <w:r w:rsidR="00051F06" w:rsidRPr="00264163">
        <w:t>O’Neil et al.</w:t>
      </w:r>
      <w:r w:rsidR="00051F06">
        <w:t xml:space="preserve"> </w:t>
      </w:r>
      <w:r w:rsidR="00051F06" w:rsidRPr="00264163">
        <w:t>2024)</w:t>
      </w:r>
      <w:r w:rsidRPr="00264163">
        <w:t xml:space="preserve">. </w:t>
      </w:r>
      <w:r w:rsidR="00AB425D" w:rsidRPr="00264163">
        <w:t>The</w:t>
      </w:r>
      <w:r w:rsidR="000822DE">
        <w:t> </w:t>
      </w:r>
      <w:r w:rsidR="00AB425D" w:rsidRPr="00264163">
        <w:rPr>
          <w:i/>
          <w:iCs/>
        </w:rPr>
        <w:t>Final Report</w:t>
      </w:r>
      <w:r w:rsidR="00AB425D" w:rsidRPr="00264163">
        <w:t xml:space="preserve"> of the Joint Standing Committee on Electoral Matters’ Inquiry into civics education, engagement, and participation in Australia was tabled in Parliament in January 2025 </w:t>
      </w:r>
      <w:r w:rsidR="00051F06">
        <w:t>(</w:t>
      </w:r>
      <w:r w:rsidR="00051F06" w:rsidRPr="00264163">
        <w:t>JSCEM</w:t>
      </w:r>
      <w:r w:rsidR="00051F06">
        <w:t xml:space="preserve"> </w:t>
      </w:r>
      <w:r w:rsidR="00051F06" w:rsidRPr="00264163">
        <w:t>2025)</w:t>
      </w:r>
      <w:r w:rsidR="00AB425D" w:rsidRPr="00264163">
        <w:t>. The report’s Foreword by Senator Carole Brown called for a coordinated ‘long</w:t>
      </w:r>
      <w:r w:rsidR="00783731">
        <w:noBreakHyphen/>
      </w:r>
      <w:r w:rsidR="00AB425D" w:rsidRPr="00264163">
        <w:t>term national media and digital literacy strategy’ and declared that ‘Australia needs a strengthened and standardised approach to formal civics education. The Committee recommends nationally aligned and mandated civics and citizenship content for high</w:t>
      </w:r>
      <w:r w:rsidR="00783731">
        <w:noBreakHyphen/>
      </w:r>
      <w:r w:rsidR="00AB425D" w:rsidRPr="00264163">
        <w:t xml:space="preserve">school students, with greater accountability and consistency in how this is implemented, by working more closely with state and territory governments’ (Ibid, </w:t>
      </w:r>
      <w:proofErr w:type="spellStart"/>
      <w:r w:rsidR="00AB425D" w:rsidRPr="00264163">
        <w:t>p.iii</w:t>
      </w:r>
      <w:proofErr w:type="spellEnd"/>
      <w:r w:rsidR="000822DE">
        <w:t>–</w:t>
      </w:r>
      <w:r w:rsidR="00AB425D" w:rsidRPr="00264163">
        <w:t xml:space="preserve">iv). </w:t>
      </w:r>
    </w:p>
    <w:p w14:paraId="6BC1960F" w14:textId="3FF4E11A" w:rsidR="000A2670" w:rsidRPr="00FD5368" w:rsidRDefault="75D5F68F" w:rsidP="00FD5368">
      <w:r w:rsidRPr="00264163">
        <w:t>In brief,</w:t>
      </w:r>
      <w:r w:rsidR="357637A2" w:rsidRPr="00264163">
        <w:t xml:space="preserve"> </w:t>
      </w:r>
      <w:r w:rsidRPr="00264163">
        <w:t>educational settings are high</w:t>
      </w:r>
      <w:r w:rsidR="00783731">
        <w:noBreakHyphen/>
      </w:r>
      <w:r w:rsidRPr="00264163">
        <w:t>engagement, high</w:t>
      </w:r>
      <w:r w:rsidR="00783731">
        <w:noBreakHyphen/>
      </w:r>
      <w:r w:rsidRPr="00264163">
        <w:t xml:space="preserve">reach contexts that provide important opportunities to challenge and extend the knowledge and skills of all citizens: </w:t>
      </w:r>
      <w:r w:rsidR="007566E5" w:rsidRPr="00264163">
        <w:t>these settings should</w:t>
      </w:r>
      <w:r w:rsidRPr="00264163">
        <w:t xml:space="preserve"> be a primary intervention target.</w:t>
      </w:r>
      <w:r>
        <w:t xml:space="preserve">  </w:t>
      </w:r>
      <w:r w:rsidR="000A2670">
        <w:br w:type="page"/>
      </w:r>
    </w:p>
    <w:p w14:paraId="7CA6A73F" w14:textId="38595D45" w:rsidR="00C10507" w:rsidRPr="00620431" w:rsidRDefault="00C10507" w:rsidP="00FD5368">
      <w:pPr>
        <w:pStyle w:val="Heading2Numbered"/>
      </w:pPr>
      <w:bookmarkStart w:id="68" w:name="_Toc204091421"/>
      <w:bookmarkStart w:id="69" w:name="_Toc218511678"/>
      <w:r>
        <w:t xml:space="preserve">Future </w:t>
      </w:r>
      <w:r w:rsidR="7387C4C5">
        <w:t>d</w:t>
      </w:r>
      <w:r>
        <w:t>irections</w:t>
      </w:r>
      <w:bookmarkEnd w:id="68"/>
      <w:bookmarkEnd w:id="69"/>
    </w:p>
    <w:p w14:paraId="206B0803" w14:textId="62A9EF0C" w:rsidR="00C10507" w:rsidRPr="0093148C" w:rsidRDefault="00C10507" w:rsidP="00FD5368">
      <w:pPr>
        <w:pStyle w:val="Heading3Numbered"/>
      </w:pPr>
      <w:bookmarkStart w:id="70" w:name="_Toc218511679"/>
      <w:r>
        <w:t xml:space="preserve">Delivery </w:t>
      </w:r>
      <w:r w:rsidR="438FF82C">
        <w:t>p</w:t>
      </w:r>
      <w:r>
        <w:t>athways and A</w:t>
      </w:r>
      <w:r w:rsidR="40E0B148">
        <w:t>I</w:t>
      </w:r>
      <w:bookmarkEnd w:id="70"/>
    </w:p>
    <w:p w14:paraId="575E5F7D" w14:textId="731A8F78" w:rsidR="00C10507" w:rsidRPr="0093148C" w:rsidRDefault="00C10507" w:rsidP="00425B1D">
      <w:r w:rsidRPr="0093148C">
        <w:t>Existing work on interventions has focussed on a limited set of delivery pathways (e.g.,</w:t>
      </w:r>
      <w:r w:rsidR="000822DE">
        <w:t> </w:t>
      </w:r>
      <w:r w:rsidRPr="0093148C">
        <w:t>school settings for literacy interventions, text</w:t>
      </w:r>
      <w:r w:rsidR="00783731">
        <w:noBreakHyphen/>
      </w:r>
      <w:r w:rsidRPr="0093148C">
        <w:t xml:space="preserve">based content for </w:t>
      </w:r>
      <w:proofErr w:type="spellStart"/>
      <w:r w:rsidRPr="0093148C">
        <w:t>prebunking</w:t>
      </w:r>
      <w:proofErr w:type="spellEnd"/>
      <w:r w:rsidRPr="0093148C">
        <w:t xml:space="preserve"> and debunking, etc.). However, emerging research highlights innovation and opportunity to better understand the role of embedding interventions in high</w:t>
      </w:r>
      <w:r w:rsidR="00783731">
        <w:noBreakHyphen/>
      </w:r>
      <w:r w:rsidRPr="0093148C">
        <w:t xml:space="preserve">engagement contexts such as on YouTube </w:t>
      </w:r>
      <w:r w:rsidR="00051F06">
        <w:t>(</w:t>
      </w:r>
      <w:proofErr w:type="spellStart"/>
      <w:r w:rsidR="00051F06" w:rsidRPr="0093148C">
        <w:t>Roozenbeek</w:t>
      </w:r>
      <w:proofErr w:type="spellEnd"/>
      <w:r w:rsidR="00051F06" w:rsidRPr="0093148C">
        <w:t xml:space="preserve"> et al.</w:t>
      </w:r>
      <w:r w:rsidR="00051F06">
        <w:t xml:space="preserve"> </w:t>
      </w:r>
      <w:r w:rsidR="00051F06" w:rsidRPr="0093148C">
        <w:t>2022)</w:t>
      </w:r>
      <w:r w:rsidRPr="0093148C">
        <w:t>.</w:t>
      </w:r>
      <w:r w:rsidR="00424334">
        <w:rPr>
          <w:rStyle w:val="FootnoteReference"/>
        </w:rPr>
        <w:footnoteReference w:id="6"/>
      </w:r>
      <w:r w:rsidRPr="0093148C">
        <w:t xml:space="preserve"> </w:t>
      </w:r>
    </w:p>
    <w:p w14:paraId="7D0286B8" w14:textId="0A4FA8BB" w:rsidR="00C10507" w:rsidRPr="0093148C" w:rsidRDefault="00C10507" w:rsidP="00425B1D">
      <w:r w:rsidRPr="0093148C">
        <w:t>Recent advances in AI</w:t>
      </w:r>
      <w:r w:rsidR="00783731">
        <w:noBreakHyphen/>
      </w:r>
      <w:r w:rsidRPr="0093148C">
        <w:t xml:space="preserve">driven large language models such as ChatGPT have also led to an interest in AI as a resilience tool. For instance, there are now studies testing if conversations with chatbots can durably reduce belief in conspiracy theories </w:t>
      </w:r>
      <w:r w:rsidR="00051F06">
        <w:t>(</w:t>
      </w:r>
      <w:r w:rsidR="00051F06" w:rsidRPr="0093148C">
        <w:t>Costello et al.</w:t>
      </w:r>
      <w:r w:rsidR="00051F06">
        <w:t xml:space="preserve"> </w:t>
      </w:r>
      <w:r w:rsidR="00051F06" w:rsidRPr="0093148C">
        <w:t>2024)</w:t>
      </w:r>
      <w:r w:rsidRPr="0093148C">
        <w:t xml:space="preserve"> or whether AI tools can be used to improve the scalability of </w:t>
      </w:r>
      <w:proofErr w:type="spellStart"/>
      <w:r w:rsidRPr="0093148C">
        <w:t>prebunking</w:t>
      </w:r>
      <w:proofErr w:type="spellEnd"/>
      <w:r w:rsidRPr="0093148C">
        <w:t xml:space="preserve"> interventions </w:t>
      </w:r>
      <w:r w:rsidR="00051F06">
        <w:t>(</w:t>
      </w:r>
      <w:r w:rsidR="00051F06" w:rsidRPr="0093148C">
        <w:t>Linegar et al.</w:t>
      </w:r>
      <w:r w:rsidR="00051F06">
        <w:t xml:space="preserve"> </w:t>
      </w:r>
      <w:r w:rsidR="00051F06" w:rsidRPr="0093148C">
        <w:t>2024)</w:t>
      </w:r>
      <w:r w:rsidRPr="0093148C">
        <w:t xml:space="preserve"> or detect and automatically debunk disinformation on social media </w:t>
      </w:r>
      <w:r w:rsidR="00051F06">
        <w:t>(</w:t>
      </w:r>
      <w:r w:rsidR="00051F06" w:rsidRPr="0093148C">
        <w:t>Rojas et al.</w:t>
      </w:r>
      <w:r w:rsidR="00051F06">
        <w:t xml:space="preserve"> </w:t>
      </w:r>
      <w:r w:rsidR="00051F06" w:rsidRPr="0093148C">
        <w:t>2024;</w:t>
      </w:r>
      <w:r w:rsidRPr="0093148C">
        <w:t xml:space="preserve"> cf. DeVerna et al. 2024). </w:t>
      </w:r>
    </w:p>
    <w:p w14:paraId="451F12C3" w14:textId="2506ED5F" w:rsidR="00C10507" w:rsidRPr="0093148C" w:rsidRDefault="00C10507" w:rsidP="00425B1D">
      <w:r w:rsidRPr="0093148C">
        <w:t xml:space="preserve">Understanding the efficacy of these approaches is an important target for future research. As AI applications become </w:t>
      </w:r>
      <w:r w:rsidR="568B1F23">
        <w:t>more</w:t>
      </w:r>
      <w:r w:rsidRPr="0093148C">
        <w:t xml:space="preserve"> commonplace, the need to consider AI literacy as a core competency of the future will grow (Efimova </w:t>
      </w:r>
      <w:r w:rsidR="00051F06">
        <w:t>and</w:t>
      </w:r>
      <w:r w:rsidRPr="0093148C">
        <w:t xml:space="preserve"> Nygren 2024). Such</w:t>
      </w:r>
      <w:r w:rsidR="000822DE">
        <w:t> </w:t>
      </w:r>
      <w:r w:rsidRPr="0093148C">
        <w:t xml:space="preserve">goals also need to be balanced with an understanding of AI risks in misinformation contexts </w:t>
      </w:r>
      <w:r w:rsidR="00051F06">
        <w:t>(</w:t>
      </w:r>
      <w:r w:rsidR="00051F06" w:rsidRPr="0093148C">
        <w:t xml:space="preserve">e.g., microtargeting of misleading content aimed at vulnerable recipients; </w:t>
      </w:r>
      <w:proofErr w:type="spellStart"/>
      <w:r w:rsidR="00051F06" w:rsidRPr="0093148C">
        <w:t>Simchon</w:t>
      </w:r>
      <w:proofErr w:type="spellEnd"/>
      <w:r w:rsidR="00051F06" w:rsidRPr="0093148C">
        <w:t xml:space="preserve"> et al.</w:t>
      </w:r>
      <w:r w:rsidR="00051F06">
        <w:t xml:space="preserve"> </w:t>
      </w:r>
      <w:r w:rsidR="00051F06" w:rsidRPr="0093148C">
        <w:t>2024)</w:t>
      </w:r>
      <w:r w:rsidRPr="0093148C">
        <w:t xml:space="preserve"> and strategic and dynamic educational resources (e.g., online resources keeping pace with rapid developments in the field of</w:t>
      </w:r>
      <w:r w:rsidR="000822DE">
        <w:t> </w:t>
      </w:r>
      <w:r w:rsidRPr="0093148C">
        <w:t>AI).</w:t>
      </w:r>
    </w:p>
    <w:p w14:paraId="541F9B1B" w14:textId="569E8E0A" w:rsidR="00C10507" w:rsidRPr="00620431" w:rsidRDefault="00C10507" w:rsidP="00FD5368">
      <w:pPr>
        <w:pStyle w:val="Heading3Numbered"/>
      </w:pPr>
      <w:bookmarkStart w:id="71" w:name="_Toc218511680"/>
      <w:r>
        <w:t xml:space="preserve">Combining </w:t>
      </w:r>
      <w:r w:rsidR="517B9C8F">
        <w:t>i</w:t>
      </w:r>
      <w:r>
        <w:t xml:space="preserve">nnovative </w:t>
      </w:r>
      <w:r w:rsidR="5182E5A6">
        <w:t>a</w:t>
      </w:r>
      <w:r>
        <w:t>pproaches</w:t>
      </w:r>
      <w:bookmarkEnd w:id="71"/>
    </w:p>
    <w:p w14:paraId="00930F20" w14:textId="70FB5912" w:rsidR="004063A9" w:rsidRDefault="00C10507" w:rsidP="004063A9">
      <w:r w:rsidRPr="0093148C">
        <w:t>While much research has focused on specific interventions in isolation, emerging research suggests higher impact may be achieved by combining interventions. For</w:t>
      </w:r>
      <w:r w:rsidR="000822DE">
        <w:t> </w:t>
      </w:r>
      <w:r w:rsidRPr="0093148C">
        <w:t>instance, combining pre</w:t>
      </w:r>
      <w:r w:rsidR="00783731">
        <w:noBreakHyphen/>
      </w:r>
      <w:r w:rsidRPr="0093148C">
        <w:t>emptive foundational competencies with small doses of</w:t>
      </w:r>
      <w:r w:rsidR="000822DE">
        <w:t> </w:t>
      </w:r>
      <w:r w:rsidRPr="0093148C">
        <w:t xml:space="preserve">friction or responsive interventions may lead to greater efficacy </w:t>
      </w:r>
      <w:r w:rsidR="00051F06">
        <w:t>(</w:t>
      </w:r>
      <w:r w:rsidR="00051F06" w:rsidRPr="0093148C">
        <w:t>Pennycook et al.</w:t>
      </w:r>
      <w:r w:rsidR="00051F06">
        <w:t xml:space="preserve"> </w:t>
      </w:r>
      <w:r w:rsidR="00051F06" w:rsidRPr="0093148C">
        <w:t>2024)</w:t>
      </w:r>
      <w:r w:rsidRPr="0093148C">
        <w:t xml:space="preserve">. </w:t>
      </w:r>
    </w:p>
    <w:p w14:paraId="5B8E3399" w14:textId="14A8B5C9" w:rsidR="00C10507" w:rsidRPr="0093148C" w:rsidRDefault="00C10507" w:rsidP="004063A9">
      <w:r w:rsidRPr="0093148C">
        <w:t xml:space="preserve">Likewise, combining debunking with source discreditation could be more effective than the two interventions used in isolation </w:t>
      </w:r>
      <w:r w:rsidR="00051F06">
        <w:t>(</w:t>
      </w:r>
      <w:r w:rsidR="00051F06" w:rsidRPr="0093148C">
        <w:t>Ecker et al.</w:t>
      </w:r>
      <w:r w:rsidR="00051F06">
        <w:t xml:space="preserve"> </w:t>
      </w:r>
      <w:r w:rsidR="00051F06" w:rsidRPr="0093148C">
        <w:t>2024)</w:t>
      </w:r>
      <w:r w:rsidRPr="0093148C">
        <w:t xml:space="preserve">. There is also an emerging literature seeking to model the unique and combined effects of different interventions at the level of the information ecosystem, including studies integrating psychological and epidemiological approaches </w:t>
      </w:r>
      <w:r w:rsidR="00051F06">
        <w:t>(</w:t>
      </w:r>
      <w:r w:rsidR="00051F06" w:rsidRPr="0093148C">
        <w:t>Bak-Coleman et al.</w:t>
      </w:r>
      <w:r w:rsidR="00051F06">
        <w:t xml:space="preserve"> </w:t>
      </w:r>
      <w:r w:rsidR="00051F06" w:rsidRPr="0093148C">
        <w:t>2022;</w:t>
      </w:r>
      <w:r w:rsidRPr="0093148C">
        <w:t xml:space="preserve"> </w:t>
      </w:r>
      <w:proofErr w:type="spellStart"/>
      <w:r w:rsidRPr="0093148C">
        <w:t>Pilditch</w:t>
      </w:r>
      <w:proofErr w:type="spellEnd"/>
      <w:r w:rsidRPr="0093148C">
        <w:t xml:space="preserve"> et al. 2022).</w:t>
      </w:r>
    </w:p>
    <w:p w14:paraId="795E57C9" w14:textId="6ED6D3CD" w:rsidR="00C10507" w:rsidRPr="00620431" w:rsidRDefault="00C10507" w:rsidP="00FD5368">
      <w:pPr>
        <w:pStyle w:val="Heading3Numbered"/>
      </w:pPr>
      <w:bookmarkStart w:id="72" w:name="_Toc218511681"/>
      <w:r>
        <w:t xml:space="preserve">Supporting </w:t>
      </w:r>
      <w:r w:rsidR="2462FAD9">
        <w:t>t</w:t>
      </w:r>
      <w:r>
        <w:t>ruth-</w:t>
      </w:r>
      <w:r w:rsidR="0BECB48A">
        <w:t>a</w:t>
      </w:r>
      <w:r>
        <w:t xml:space="preserve">ffirming </w:t>
      </w:r>
      <w:r w:rsidR="73FD2D21">
        <w:t>a</w:t>
      </w:r>
      <w:r>
        <w:t>ctors</w:t>
      </w:r>
      <w:bookmarkEnd w:id="72"/>
    </w:p>
    <w:p w14:paraId="167B09E3" w14:textId="16A30369" w:rsidR="00C10507" w:rsidRPr="0093148C" w:rsidRDefault="00C10507" w:rsidP="00425B1D">
      <w:r>
        <w:t>Wikipedia’s institutional evolution discouraged fringe content believers, who left the project, whilst comforting scientific</w:t>
      </w:r>
      <w:r w:rsidR="00783731">
        <w:noBreakHyphen/>
      </w:r>
      <w:r>
        <w:t xml:space="preserve">content adherents, who remained, so Wikipedia is now referred to as </w:t>
      </w:r>
      <w:r w:rsidR="7978E3F1">
        <w:t>‘</w:t>
      </w:r>
      <w:r>
        <w:t xml:space="preserve">the last good place on the </w:t>
      </w:r>
      <w:r w:rsidR="00C41632">
        <w:t>i</w:t>
      </w:r>
      <w:r>
        <w:t>nternet</w:t>
      </w:r>
      <w:r w:rsidR="15995423">
        <w:t>’</w:t>
      </w:r>
      <w:r>
        <w:t xml:space="preserve"> </w:t>
      </w:r>
      <w:r w:rsidR="00051F06">
        <w:t>(Steinsson 2024)</w:t>
      </w:r>
      <w:r>
        <w:t>. However, distrust of Wikipedia is widespread amongst primary and secondary school teachers. Most are unaware of the community</w:t>
      </w:r>
      <w:r w:rsidR="00783731">
        <w:noBreakHyphen/>
      </w:r>
      <w:r>
        <w:t xml:space="preserve">enforced editorial guidelines, which ensure that Wikipedia articles on popular topics, which attract significant editorial attention, are reliable and neutral </w:t>
      </w:r>
      <w:r w:rsidR="00051F06">
        <w:t>(O’Neil et al. 2025)</w:t>
      </w:r>
      <w:r>
        <w:t xml:space="preserve">. </w:t>
      </w:r>
    </w:p>
    <w:p w14:paraId="335AA6BE" w14:textId="324ACA1C" w:rsidR="00C10507" w:rsidRPr="0093148C" w:rsidRDefault="00C10507" w:rsidP="00425B1D">
      <w:r>
        <w:t xml:space="preserve">The value, and use, of Wikipedia can be considered a target in teacher education programs and in school classrooms. This will require consultation with both </w:t>
      </w:r>
      <w:r w:rsidR="00255261">
        <w:t>ACARA</w:t>
      </w:r>
      <w:r>
        <w:t xml:space="preserve"> and universities delivering pre</w:t>
      </w:r>
      <w:r w:rsidR="00783731">
        <w:noBreakHyphen/>
      </w:r>
      <w:r>
        <w:t xml:space="preserve">service teacher education. In addition, individuals and groups who curate online information environments, such as Wikipedia editors and administrators or Reddit moderators, perform key deliberative roles. These individuals may need to deploy </w:t>
      </w:r>
      <w:r w:rsidR="65DF50B9">
        <w:t>‘</w:t>
      </w:r>
      <w:r>
        <w:t>counter</w:t>
      </w:r>
      <w:r w:rsidR="70C92E64">
        <w:t xml:space="preserve"> </w:t>
      </w:r>
      <w:r>
        <w:t>speech</w:t>
      </w:r>
      <w:r w:rsidR="338FD193">
        <w:t>’</w:t>
      </w:r>
      <w:r>
        <w:t xml:space="preserve"> in response to disinformation and hate speech, but lack adequate identification tools and appropriate response mechanisms. More research is needed to determine how best to support them. Support for truth</w:t>
      </w:r>
      <w:r w:rsidR="00783731">
        <w:noBreakHyphen/>
      </w:r>
      <w:r>
        <w:t>affirming actors should also extend to continuing recognition of the role of public broadcasting and targeted support to high</w:t>
      </w:r>
      <w:r w:rsidR="00783731">
        <w:noBreakHyphen/>
      </w:r>
      <w:r>
        <w:t>quality independent media.</w:t>
      </w:r>
    </w:p>
    <w:p w14:paraId="37BB9014" w14:textId="77777777" w:rsidR="00424334" w:rsidRPr="00FD5368" w:rsidRDefault="00424334" w:rsidP="00FD5368">
      <w:r>
        <w:br w:type="page"/>
      </w:r>
    </w:p>
    <w:p w14:paraId="31932CED" w14:textId="014EF0E1" w:rsidR="00C10507" w:rsidRPr="00620431" w:rsidRDefault="00C10507" w:rsidP="00FD5368">
      <w:pPr>
        <w:pStyle w:val="Heading2Numbered"/>
      </w:pPr>
      <w:bookmarkStart w:id="73" w:name="_Toc204091422"/>
      <w:bookmarkStart w:id="74" w:name="_Toc218511682"/>
      <w:r w:rsidRPr="00620431">
        <w:t xml:space="preserve">Concluding </w:t>
      </w:r>
      <w:r w:rsidR="7E8A892C">
        <w:t>r</w:t>
      </w:r>
      <w:r w:rsidRPr="00620431">
        <w:t>emarks</w:t>
      </w:r>
      <w:bookmarkEnd w:id="73"/>
      <w:bookmarkEnd w:id="74"/>
    </w:p>
    <w:p w14:paraId="35EB0295" w14:textId="2ED59BD4" w:rsidR="00C10507" w:rsidRPr="0093148C" w:rsidRDefault="00C10507" w:rsidP="00425B1D">
      <w:r w:rsidRPr="0093148C">
        <w:t>Misinformation is an evolving and complex challenge facing democratic societies. With</w:t>
      </w:r>
      <w:r w:rsidR="00A21B82">
        <w:t> </w:t>
      </w:r>
      <w:r w:rsidRPr="0093148C">
        <w:t>technological advances reshaping communication, interventions must adapt to the dynamic nature of the information environment. Current research provides a significant evidence</w:t>
      </w:r>
      <w:r w:rsidR="00783731">
        <w:noBreakHyphen/>
      </w:r>
      <w:r w:rsidRPr="0093148C">
        <w:t xml:space="preserve">base for a range of tools to support individuals to better assess the quality of information they encounter </w:t>
      </w:r>
      <w:r w:rsidR="00051F06">
        <w:t>(</w:t>
      </w:r>
      <w:r w:rsidR="00051F06" w:rsidRPr="0093148C">
        <w:t>Kozyreva et al.</w:t>
      </w:r>
      <w:r w:rsidR="00051F06">
        <w:t xml:space="preserve"> </w:t>
      </w:r>
      <w:r w:rsidR="00051F06" w:rsidRPr="0093148C">
        <w:t>2024)</w:t>
      </w:r>
      <w:r w:rsidRPr="0093148C">
        <w:t xml:space="preserve">. </w:t>
      </w:r>
    </w:p>
    <w:p w14:paraId="762F5BE2" w14:textId="537B4FCA" w:rsidR="00C10507" w:rsidRPr="0093148C" w:rsidRDefault="00C10507" w:rsidP="00425B1D">
      <w:r>
        <w:t xml:space="preserve">To effectively empower individuals and communities, the full set of interventions presented here ought to be considered, with a range of entry points to address misinformation (see Table 2 for a summary of interventions). This review also highlights opportunities for Australia to better understand efficacy in our cultural context. </w:t>
      </w:r>
      <w:r w:rsidR="0D3E3ED0">
        <w:t>To</w:t>
      </w:r>
      <w:r w:rsidR="00A21B82">
        <w:t> </w:t>
      </w:r>
      <w:r>
        <w:t>effectively combat misinformation, leveraging technology to enhance engagement with interventions and audience reach should be considered as fundamental to impact.</w:t>
      </w:r>
    </w:p>
    <w:p w14:paraId="3D7158A3" w14:textId="77777777" w:rsidR="00424334" w:rsidRPr="00FD5368" w:rsidRDefault="00424334" w:rsidP="00FD5368">
      <w:r>
        <w:br w:type="page"/>
      </w:r>
    </w:p>
    <w:p w14:paraId="40623CA8" w14:textId="77777777" w:rsidR="00C10507" w:rsidRPr="0093148C" w:rsidRDefault="00C10507" w:rsidP="00E641F3">
      <w:pPr>
        <w:pStyle w:val="Heading2"/>
      </w:pPr>
      <w:bookmarkStart w:id="75" w:name="_Toc204091423"/>
      <w:bookmarkStart w:id="76" w:name="_Toc218511683"/>
      <w:r w:rsidRPr="0093148C">
        <w:t>References</w:t>
      </w:r>
      <w:bookmarkEnd w:id="75"/>
      <w:bookmarkEnd w:id="76"/>
    </w:p>
    <w:p w14:paraId="28447C48" w14:textId="5960596A" w:rsidR="007D0715" w:rsidRPr="00192176" w:rsidRDefault="007D0715" w:rsidP="007D0715">
      <w:pPr>
        <w:rPr>
          <w:szCs w:val="24"/>
        </w:rPr>
      </w:pPr>
      <w:r w:rsidRPr="00192176">
        <w:rPr>
          <w:szCs w:val="24"/>
        </w:rPr>
        <w:t>Aird MJ, Ecker UK, Swire B, Berinsky AJ</w:t>
      </w:r>
      <w:r w:rsidR="00946344">
        <w:rPr>
          <w:szCs w:val="24"/>
        </w:rPr>
        <w:t xml:space="preserve"> and</w:t>
      </w:r>
      <w:r w:rsidRPr="00192176">
        <w:rPr>
          <w:szCs w:val="24"/>
        </w:rPr>
        <w:t xml:space="preserve"> Lewandowsky S (2018) ‘Does truth matter to voters? The effects of correcting political misinformation in an Australian sample’, </w:t>
      </w:r>
      <w:r w:rsidRPr="00192176">
        <w:rPr>
          <w:i/>
          <w:iCs/>
          <w:szCs w:val="24"/>
        </w:rPr>
        <w:t>Royal Society Open Science</w:t>
      </w:r>
      <w:r w:rsidRPr="00192176">
        <w:rPr>
          <w:szCs w:val="24"/>
        </w:rPr>
        <w:t xml:space="preserve">, 5(12): 180593, </w:t>
      </w:r>
      <w:hyperlink r:id="rId21" w:history="1">
        <w:r w:rsidRPr="00192176">
          <w:rPr>
            <w:rStyle w:val="Hyperlink"/>
            <w:szCs w:val="24"/>
          </w:rPr>
          <w:t>https://doi.org/10.1098/rsos.180593</w:t>
        </w:r>
      </w:hyperlink>
      <w:r w:rsidRPr="00192176">
        <w:rPr>
          <w:szCs w:val="24"/>
        </w:rPr>
        <w:t>.</w:t>
      </w:r>
      <w:r>
        <w:rPr>
          <w:szCs w:val="24"/>
        </w:rPr>
        <w:t xml:space="preserve"> </w:t>
      </w:r>
    </w:p>
    <w:p w14:paraId="6660A5CE" w14:textId="36CF6CA6" w:rsidR="007D0715" w:rsidRPr="00192176" w:rsidRDefault="007D0715" w:rsidP="007D0715">
      <w:pPr>
        <w:rPr>
          <w:szCs w:val="24"/>
        </w:rPr>
      </w:pPr>
      <w:r w:rsidRPr="00192176">
        <w:rPr>
          <w:szCs w:val="24"/>
        </w:rPr>
        <w:t>Allen J, Arechar AA, Pennycook G</w:t>
      </w:r>
      <w:r w:rsidR="00946344">
        <w:rPr>
          <w:szCs w:val="24"/>
        </w:rPr>
        <w:t xml:space="preserve"> and</w:t>
      </w:r>
      <w:r w:rsidR="00946344" w:rsidRPr="00192176">
        <w:rPr>
          <w:szCs w:val="24"/>
        </w:rPr>
        <w:t xml:space="preserve"> </w:t>
      </w:r>
      <w:r w:rsidRPr="00192176">
        <w:rPr>
          <w:szCs w:val="24"/>
        </w:rPr>
        <w:t xml:space="preserve">Rand DG (2021) ‘Scaling up fact-checking using the wisdom of crowds’, </w:t>
      </w:r>
      <w:r w:rsidRPr="00192176">
        <w:rPr>
          <w:i/>
          <w:iCs/>
          <w:szCs w:val="24"/>
        </w:rPr>
        <w:t>Science Advances</w:t>
      </w:r>
      <w:r w:rsidRPr="00192176">
        <w:rPr>
          <w:szCs w:val="24"/>
        </w:rPr>
        <w:t>, 7(36): eabf4393</w:t>
      </w:r>
      <w:r w:rsidR="00D537B5">
        <w:rPr>
          <w:szCs w:val="24"/>
        </w:rPr>
        <w:t xml:space="preserve">, </w:t>
      </w:r>
      <w:hyperlink r:id="rId22" w:history="1">
        <w:r w:rsidR="001D719C" w:rsidRPr="002D7FD9">
          <w:rPr>
            <w:rStyle w:val="Hyperlink"/>
            <w:szCs w:val="24"/>
          </w:rPr>
          <w:t>https://doi.org/10.1126/sciadv.abf4393</w:t>
        </w:r>
      </w:hyperlink>
      <w:r w:rsidR="001D719C">
        <w:rPr>
          <w:szCs w:val="24"/>
        </w:rPr>
        <w:t xml:space="preserve">. </w:t>
      </w:r>
    </w:p>
    <w:p w14:paraId="24C5ACE6" w14:textId="4F6BDB9F" w:rsidR="007D0715" w:rsidRPr="00192176" w:rsidRDefault="007D0715" w:rsidP="007D0715">
      <w:pPr>
        <w:rPr>
          <w:szCs w:val="24"/>
        </w:rPr>
      </w:pPr>
      <w:r w:rsidRPr="00192176">
        <w:rPr>
          <w:szCs w:val="24"/>
        </w:rPr>
        <w:t>Allen J, Martel C</w:t>
      </w:r>
      <w:r w:rsidR="00946344">
        <w:rPr>
          <w:szCs w:val="24"/>
        </w:rPr>
        <w:t xml:space="preserve"> and</w:t>
      </w:r>
      <w:r w:rsidR="00946344" w:rsidRPr="00192176">
        <w:rPr>
          <w:szCs w:val="24"/>
        </w:rPr>
        <w:t xml:space="preserve"> </w:t>
      </w:r>
      <w:r w:rsidRPr="00192176">
        <w:rPr>
          <w:szCs w:val="24"/>
        </w:rPr>
        <w:t xml:space="preserve">Rand DG (2022) ‘Birds of a feather don’t fact-check each other: partisanship and the evaluation of news in Twitter’s Birdwatch crowdsourced fact-checking program’, </w:t>
      </w:r>
      <w:r w:rsidRPr="00192176">
        <w:rPr>
          <w:i/>
          <w:iCs/>
          <w:szCs w:val="24"/>
        </w:rPr>
        <w:t>Proceedings of the 2022 CHI Conference on Human Factors in Computing Systems</w:t>
      </w:r>
      <w:r w:rsidRPr="00192176">
        <w:rPr>
          <w:szCs w:val="24"/>
        </w:rPr>
        <w:t xml:space="preserve">, </w:t>
      </w:r>
      <w:r w:rsidR="00A75C82">
        <w:rPr>
          <w:szCs w:val="24"/>
        </w:rPr>
        <w:t>245</w:t>
      </w:r>
      <w:r w:rsidR="00605872">
        <w:rPr>
          <w:szCs w:val="24"/>
        </w:rPr>
        <w:t>:</w:t>
      </w:r>
      <w:r w:rsidR="00A75C82">
        <w:rPr>
          <w:szCs w:val="24"/>
        </w:rPr>
        <w:t xml:space="preserve"> </w:t>
      </w:r>
      <w:r w:rsidRPr="00192176">
        <w:rPr>
          <w:szCs w:val="24"/>
        </w:rPr>
        <w:t>1–19</w:t>
      </w:r>
      <w:r w:rsidR="00BE4712">
        <w:rPr>
          <w:szCs w:val="24"/>
        </w:rPr>
        <w:t xml:space="preserve">, </w:t>
      </w:r>
      <w:hyperlink r:id="rId23" w:history="1">
        <w:r w:rsidR="00BE4712" w:rsidRPr="002D7FD9">
          <w:rPr>
            <w:rStyle w:val="Hyperlink"/>
            <w:szCs w:val="24"/>
          </w:rPr>
          <w:t>https://doi.org/10.1145/3491102.3502040</w:t>
        </w:r>
      </w:hyperlink>
      <w:r w:rsidR="00BE4712">
        <w:rPr>
          <w:szCs w:val="24"/>
        </w:rPr>
        <w:t xml:space="preserve">. </w:t>
      </w:r>
    </w:p>
    <w:p w14:paraId="4E86BDF5" w14:textId="77777777" w:rsidR="007D0715" w:rsidRPr="00192176" w:rsidRDefault="007D0715" w:rsidP="007D0715">
      <w:pPr>
        <w:rPr>
          <w:szCs w:val="24"/>
        </w:rPr>
      </w:pPr>
      <w:r w:rsidRPr="00192176">
        <w:rPr>
          <w:szCs w:val="24"/>
        </w:rPr>
        <w:t xml:space="preserve">Alstyne MWV (2022) ‘Free speech, platforms and the fake news problem’, </w:t>
      </w:r>
      <w:hyperlink r:id="rId24" w:history="1">
        <w:r w:rsidRPr="00192176">
          <w:rPr>
            <w:rStyle w:val="Hyperlink"/>
            <w:szCs w:val="24"/>
          </w:rPr>
          <w:t>https://doi.org/10.2139/ssrn.3997980</w:t>
        </w:r>
      </w:hyperlink>
      <w:r w:rsidRPr="00192176">
        <w:rPr>
          <w:szCs w:val="24"/>
        </w:rPr>
        <w:t>.</w:t>
      </w:r>
      <w:r>
        <w:rPr>
          <w:szCs w:val="24"/>
        </w:rPr>
        <w:t xml:space="preserve"> </w:t>
      </w:r>
    </w:p>
    <w:p w14:paraId="22324802" w14:textId="35EE059F" w:rsidR="007D0715" w:rsidRPr="00192176" w:rsidRDefault="007D0715" w:rsidP="007D0715">
      <w:pPr>
        <w:rPr>
          <w:szCs w:val="24"/>
        </w:rPr>
      </w:pPr>
      <w:r w:rsidRPr="00192176">
        <w:rPr>
          <w:szCs w:val="24"/>
        </w:rPr>
        <w:t xml:space="preserve">Altay S, </w:t>
      </w:r>
      <w:proofErr w:type="spellStart"/>
      <w:r w:rsidRPr="00192176">
        <w:rPr>
          <w:szCs w:val="24"/>
        </w:rPr>
        <w:t>Berriche</w:t>
      </w:r>
      <w:proofErr w:type="spellEnd"/>
      <w:r w:rsidRPr="00192176">
        <w:rPr>
          <w:szCs w:val="24"/>
        </w:rPr>
        <w:t xml:space="preserve"> M</w:t>
      </w:r>
      <w:r w:rsidR="00946344">
        <w:rPr>
          <w:szCs w:val="24"/>
        </w:rPr>
        <w:t xml:space="preserve"> and</w:t>
      </w:r>
      <w:r w:rsidR="00946344" w:rsidRPr="00192176">
        <w:rPr>
          <w:szCs w:val="24"/>
        </w:rPr>
        <w:t xml:space="preserve"> </w:t>
      </w:r>
      <w:r w:rsidRPr="00192176">
        <w:rPr>
          <w:szCs w:val="24"/>
        </w:rPr>
        <w:t xml:space="preserve">Acerbi A (2023) ‘Misinformation on misinformation: conceptual and methodological challenges’, </w:t>
      </w:r>
      <w:r w:rsidRPr="00192176">
        <w:rPr>
          <w:i/>
          <w:iCs/>
          <w:szCs w:val="24"/>
        </w:rPr>
        <w:t>Social Media + Society</w:t>
      </w:r>
      <w:r w:rsidRPr="00192176">
        <w:rPr>
          <w:szCs w:val="24"/>
        </w:rPr>
        <w:t xml:space="preserve">, 9(1): 20563051221150412, </w:t>
      </w:r>
      <w:hyperlink r:id="rId25" w:history="1">
        <w:r w:rsidRPr="00192176">
          <w:rPr>
            <w:rStyle w:val="Hyperlink"/>
            <w:szCs w:val="24"/>
          </w:rPr>
          <w:t>https://doi.org/10.1177/20563051221150412</w:t>
        </w:r>
      </w:hyperlink>
      <w:r w:rsidRPr="00192176">
        <w:rPr>
          <w:szCs w:val="24"/>
        </w:rPr>
        <w:t>.</w:t>
      </w:r>
      <w:r>
        <w:rPr>
          <w:szCs w:val="24"/>
        </w:rPr>
        <w:t xml:space="preserve"> </w:t>
      </w:r>
    </w:p>
    <w:p w14:paraId="7E012CB2" w14:textId="34B21763" w:rsidR="007D0715" w:rsidRPr="00192176" w:rsidRDefault="007D0715" w:rsidP="007D0715">
      <w:pPr>
        <w:rPr>
          <w:szCs w:val="24"/>
        </w:rPr>
      </w:pPr>
      <w:r w:rsidRPr="00192176">
        <w:rPr>
          <w:szCs w:val="24"/>
        </w:rPr>
        <w:t>Altay S, Hoes E</w:t>
      </w:r>
      <w:r w:rsidR="00946344">
        <w:rPr>
          <w:szCs w:val="24"/>
        </w:rPr>
        <w:t xml:space="preserve"> and</w:t>
      </w:r>
      <w:r w:rsidR="00946344" w:rsidRPr="00192176">
        <w:rPr>
          <w:szCs w:val="24"/>
        </w:rPr>
        <w:t xml:space="preserve"> </w:t>
      </w:r>
      <w:r w:rsidRPr="00192176">
        <w:rPr>
          <w:szCs w:val="24"/>
        </w:rPr>
        <w:t xml:space="preserve">Wojcieszak M (2024) ‘News on social media boosts knowledge, belief accuracy, and trust: a field experiment on Instagram and WhatsApp’, </w:t>
      </w:r>
      <w:proofErr w:type="spellStart"/>
      <w:r w:rsidRPr="00192176">
        <w:rPr>
          <w:i/>
          <w:iCs/>
          <w:szCs w:val="24"/>
        </w:rPr>
        <w:t>PsyArXiv</w:t>
      </w:r>
      <w:proofErr w:type="spellEnd"/>
      <w:r w:rsidRPr="00192176">
        <w:rPr>
          <w:szCs w:val="24"/>
        </w:rPr>
        <w:t xml:space="preserve">, </w:t>
      </w:r>
      <w:hyperlink r:id="rId26" w:history="1">
        <w:r w:rsidRPr="00192176">
          <w:rPr>
            <w:rStyle w:val="Hyperlink"/>
            <w:szCs w:val="24"/>
          </w:rPr>
          <w:t>https://doi.org/10.31234/osf.io/hq5ru</w:t>
        </w:r>
      </w:hyperlink>
      <w:r w:rsidRPr="00192176">
        <w:rPr>
          <w:szCs w:val="24"/>
        </w:rPr>
        <w:t>.</w:t>
      </w:r>
      <w:r>
        <w:rPr>
          <w:szCs w:val="24"/>
        </w:rPr>
        <w:t xml:space="preserve"> </w:t>
      </w:r>
    </w:p>
    <w:p w14:paraId="0E1C9CCE" w14:textId="12A78229" w:rsidR="007D0715" w:rsidRPr="00192176" w:rsidRDefault="007D0715" w:rsidP="007D0715">
      <w:pPr>
        <w:rPr>
          <w:szCs w:val="24"/>
        </w:rPr>
      </w:pPr>
      <w:r w:rsidRPr="00192176">
        <w:rPr>
          <w:szCs w:val="24"/>
        </w:rPr>
        <w:t>Altay S, Nielsen RK</w:t>
      </w:r>
      <w:r w:rsidR="00946344">
        <w:rPr>
          <w:szCs w:val="24"/>
        </w:rPr>
        <w:t xml:space="preserve"> and</w:t>
      </w:r>
      <w:r w:rsidR="00946344" w:rsidRPr="00192176">
        <w:rPr>
          <w:szCs w:val="24"/>
        </w:rPr>
        <w:t xml:space="preserve"> </w:t>
      </w:r>
      <w:r w:rsidRPr="00192176">
        <w:rPr>
          <w:szCs w:val="24"/>
        </w:rPr>
        <w:t xml:space="preserve">Fletcher R (2024) ‘News can help! The impact of news media and digital platforms on awareness of and belief in misinformation’, </w:t>
      </w:r>
      <w:r w:rsidRPr="00192176">
        <w:rPr>
          <w:i/>
          <w:iCs/>
          <w:szCs w:val="24"/>
        </w:rPr>
        <w:t>The International Journal of Press/Politics</w:t>
      </w:r>
      <w:r w:rsidRPr="00192176">
        <w:rPr>
          <w:szCs w:val="24"/>
        </w:rPr>
        <w:t xml:space="preserve">, 29(2): 459–484, </w:t>
      </w:r>
      <w:hyperlink r:id="rId27" w:history="1">
        <w:r w:rsidRPr="00192176">
          <w:rPr>
            <w:rStyle w:val="Hyperlink"/>
            <w:szCs w:val="24"/>
          </w:rPr>
          <w:t>https://doi.org/10.1177/19401612221148981</w:t>
        </w:r>
      </w:hyperlink>
      <w:r w:rsidRPr="00192176">
        <w:rPr>
          <w:szCs w:val="24"/>
        </w:rPr>
        <w:t>.</w:t>
      </w:r>
      <w:r>
        <w:rPr>
          <w:szCs w:val="24"/>
        </w:rPr>
        <w:t xml:space="preserve"> </w:t>
      </w:r>
    </w:p>
    <w:p w14:paraId="7AB8534A" w14:textId="4D798F7A" w:rsidR="007D0715" w:rsidRPr="00192176" w:rsidRDefault="007D0715" w:rsidP="007D0715">
      <w:pPr>
        <w:rPr>
          <w:szCs w:val="24"/>
        </w:rPr>
      </w:pPr>
      <w:r w:rsidRPr="0077228A">
        <w:rPr>
          <w:szCs w:val="24"/>
        </w:rPr>
        <w:t xml:space="preserve">Arechar AA, Allen J, Berinsky AJ, Cole R, Epstein Z, Garimella K, </w:t>
      </w:r>
      <w:r w:rsidR="008B15F0" w:rsidRPr="0077228A">
        <w:rPr>
          <w:szCs w:val="24"/>
        </w:rPr>
        <w:t xml:space="preserve">Gully, A, Lu JG, </w:t>
      </w:r>
      <w:r w:rsidR="00732244" w:rsidRPr="0077228A">
        <w:rPr>
          <w:szCs w:val="24"/>
        </w:rPr>
        <w:t>Ross RM, Stagnaro MN, Zhang Y, Pennycook G</w:t>
      </w:r>
      <w:r w:rsidR="0077228A" w:rsidRPr="0077228A">
        <w:rPr>
          <w:szCs w:val="24"/>
        </w:rPr>
        <w:t xml:space="preserve"> and</w:t>
      </w:r>
      <w:r w:rsidR="00732244" w:rsidRPr="0077228A">
        <w:rPr>
          <w:szCs w:val="24"/>
        </w:rPr>
        <w:t xml:space="preserve"> Rand DG</w:t>
      </w:r>
      <w:r w:rsidRPr="0077228A">
        <w:rPr>
          <w:szCs w:val="24"/>
        </w:rPr>
        <w:t xml:space="preserve"> (2023) ‘Understanding and combatting misinformation across 16 countries on six continents’, </w:t>
      </w:r>
      <w:r w:rsidRPr="0077228A">
        <w:rPr>
          <w:i/>
          <w:iCs/>
          <w:szCs w:val="24"/>
        </w:rPr>
        <w:t>Nature Human Behaviour</w:t>
      </w:r>
      <w:r w:rsidRPr="0077228A">
        <w:rPr>
          <w:szCs w:val="24"/>
        </w:rPr>
        <w:t>, 7</w:t>
      </w:r>
      <w:r w:rsidR="00605872">
        <w:rPr>
          <w:szCs w:val="24"/>
        </w:rPr>
        <w:t>:</w:t>
      </w:r>
      <w:r w:rsidRPr="0077228A">
        <w:rPr>
          <w:szCs w:val="24"/>
        </w:rPr>
        <w:t xml:space="preserve"> 1502–1513, </w:t>
      </w:r>
      <w:hyperlink r:id="rId28" w:history="1">
        <w:r w:rsidRPr="0077228A">
          <w:rPr>
            <w:rStyle w:val="Hyperlink"/>
            <w:szCs w:val="24"/>
          </w:rPr>
          <w:t>https://doi.org/10.1038/s41562-023-01641-6</w:t>
        </w:r>
      </w:hyperlink>
      <w:r w:rsidRPr="0077228A">
        <w:rPr>
          <w:szCs w:val="24"/>
        </w:rPr>
        <w:t>.</w:t>
      </w:r>
      <w:r>
        <w:rPr>
          <w:szCs w:val="24"/>
        </w:rPr>
        <w:t xml:space="preserve"> </w:t>
      </w:r>
    </w:p>
    <w:p w14:paraId="0C603087" w14:textId="743F5410" w:rsidR="007D0715" w:rsidRPr="00192176" w:rsidRDefault="004A18C9" w:rsidP="007D0715">
      <w:pPr>
        <w:rPr>
          <w:szCs w:val="24"/>
        </w:rPr>
      </w:pPr>
      <w:r>
        <w:rPr>
          <w:szCs w:val="24"/>
        </w:rPr>
        <w:t>ACCC (</w:t>
      </w:r>
      <w:r w:rsidR="007D0715" w:rsidRPr="00192176">
        <w:rPr>
          <w:szCs w:val="24"/>
        </w:rPr>
        <w:t>Australian Competition and Consumer Commission</w:t>
      </w:r>
      <w:r>
        <w:rPr>
          <w:szCs w:val="24"/>
        </w:rPr>
        <w:t>)</w:t>
      </w:r>
      <w:r w:rsidR="007D0715" w:rsidRPr="00192176">
        <w:rPr>
          <w:szCs w:val="24"/>
        </w:rPr>
        <w:t xml:space="preserve"> (2019) </w:t>
      </w:r>
      <w:hyperlink r:id="rId29" w:history="1">
        <w:r w:rsidR="007D0715" w:rsidRPr="004A18C9">
          <w:rPr>
            <w:rStyle w:val="Hyperlink"/>
            <w:i/>
            <w:iCs/>
            <w:szCs w:val="24"/>
          </w:rPr>
          <w:t>Digital platforms inquiry: final report</w:t>
        </w:r>
      </w:hyperlink>
      <w:r w:rsidR="007D0715" w:rsidRPr="00192176">
        <w:rPr>
          <w:szCs w:val="24"/>
        </w:rPr>
        <w:t xml:space="preserve">, </w:t>
      </w:r>
      <w:r>
        <w:t>ACCC.</w:t>
      </w:r>
      <w:r w:rsidR="007D0715">
        <w:rPr>
          <w:szCs w:val="24"/>
        </w:rPr>
        <w:t xml:space="preserve"> </w:t>
      </w:r>
    </w:p>
    <w:p w14:paraId="61325B38" w14:textId="33375FEE" w:rsidR="007D0715" w:rsidRPr="00192176" w:rsidRDefault="007D0715" w:rsidP="007D0715">
      <w:pPr>
        <w:rPr>
          <w:szCs w:val="24"/>
        </w:rPr>
      </w:pPr>
      <w:proofErr w:type="spellStart"/>
      <w:r w:rsidRPr="00192176">
        <w:rPr>
          <w:szCs w:val="24"/>
        </w:rPr>
        <w:t>Avieson</w:t>
      </w:r>
      <w:proofErr w:type="spellEnd"/>
      <w:r w:rsidRPr="00192176">
        <w:rPr>
          <w:szCs w:val="24"/>
        </w:rPr>
        <w:t xml:space="preserve"> B (2022) ‘Editors, sources and the “go back” button: Wikipedia’s framework for beating misinformation’, </w:t>
      </w:r>
      <w:r w:rsidRPr="00192176">
        <w:rPr>
          <w:i/>
          <w:iCs/>
          <w:szCs w:val="24"/>
        </w:rPr>
        <w:t>First Monday</w:t>
      </w:r>
      <w:r w:rsidRPr="00192176">
        <w:rPr>
          <w:szCs w:val="24"/>
        </w:rPr>
        <w:t>,</w:t>
      </w:r>
      <w:r w:rsidR="005E307A">
        <w:rPr>
          <w:szCs w:val="24"/>
        </w:rPr>
        <w:t xml:space="preserve"> 27(11),</w:t>
      </w:r>
      <w:r w:rsidRPr="00192176">
        <w:rPr>
          <w:szCs w:val="24"/>
        </w:rPr>
        <w:t xml:space="preserve"> </w:t>
      </w:r>
      <w:hyperlink r:id="rId30" w:history="1">
        <w:r w:rsidRPr="00192176">
          <w:rPr>
            <w:rStyle w:val="Hyperlink"/>
            <w:szCs w:val="24"/>
          </w:rPr>
          <w:t>https://doi.org/10.5210/fm.v27i11.12754</w:t>
        </w:r>
      </w:hyperlink>
      <w:r w:rsidRPr="00192176">
        <w:rPr>
          <w:szCs w:val="24"/>
        </w:rPr>
        <w:t>.</w:t>
      </w:r>
      <w:r>
        <w:rPr>
          <w:szCs w:val="24"/>
        </w:rPr>
        <w:t xml:space="preserve"> </w:t>
      </w:r>
    </w:p>
    <w:p w14:paraId="63E26BAD" w14:textId="71849E9A" w:rsidR="007D0715" w:rsidRPr="00192176" w:rsidRDefault="007D0715" w:rsidP="007D0715">
      <w:pPr>
        <w:rPr>
          <w:szCs w:val="24"/>
        </w:rPr>
      </w:pPr>
      <w:r w:rsidRPr="00192176">
        <w:rPr>
          <w:szCs w:val="24"/>
        </w:rPr>
        <w:t xml:space="preserve">Axelsson CAW, </w:t>
      </w:r>
      <w:proofErr w:type="spellStart"/>
      <w:r w:rsidRPr="00192176">
        <w:rPr>
          <w:szCs w:val="24"/>
        </w:rPr>
        <w:t>Guath</w:t>
      </w:r>
      <w:proofErr w:type="spellEnd"/>
      <w:r w:rsidRPr="00192176">
        <w:rPr>
          <w:szCs w:val="24"/>
        </w:rPr>
        <w:t xml:space="preserve"> M</w:t>
      </w:r>
      <w:r w:rsidR="00946344">
        <w:rPr>
          <w:szCs w:val="24"/>
        </w:rPr>
        <w:t xml:space="preserve"> and</w:t>
      </w:r>
      <w:r w:rsidR="00946344" w:rsidRPr="00192176">
        <w:rPr>
          <w:szCs w:val="24"/>
        </w:rPr>
        <w:t xml:space="preserve"> </w:t>
      </w:r>
      <w:r w:rsidRPr="00192176">
        <w:rPr>
          <w:szCs w:val="24"/>
        </w:rPr>
        <w:t xml:space="preserve">Nygren T (2021) ‘Learning how to separate fake from real news: scalable digital tutorials promoting students’ civic online reasoning’, </w:t>
      </w:r>
      <w:r w:rsidRPr="00192176">
        <w:rPr>
          <w:i/>
          <w:iCs/>
          <w:szCs w:val="24"/>
        </w:rPr>
        <w:t>Future Internet</w:t>
      </w:r>
      <w:r w:rsidRPr="00192176">
        <w:rPr>
          <w:szCs w:val="24"/>
        </w:rPr>
        <w:t>, 13(3): 60</w:t>
      </w:r>
      <w:r w:rsidR="00512E60">
        <w:rPr>
          <w:szCs w:val="24"/>
        </w:rPr>
        <w:t xml:space="preserve">, </w:t>
      </w:r>
      <w:hyperlink r:id="rId31" w:history="1">
        <w:r w:rsidR="00512E60" w:rsidRPr="002D7FD9">
          <w:rPr>
            <w:rStyle w:val="Hyperlink"/>
            <w:szCs w:val="24"/>
          </w:rPr>
          <w:t>https://doi.org/10.3390/fi13030060</w:t>
        </w:r>
      </w:hyperlink>
      <w:r w:rsidR="00512E60">
        <w:rPr>
          <w:szCs w:val="24"/>
        </w:rPr>
        <w:t xml:space="preserve">. </w:t>
      </w:r>
    </w:p>
    <w:p w14:paraId="0049C11D" w14:textId="0377C3EB" w:rsidR="007D0715" w:rsidRPr="00192176" w:rsidRDefault="007D0715" w:rsidP="007D0715">
      <w:pPr>
        <w:rPr>
          <w:szCs w:val="24"/>
        </w:rPr>
      </w:pPr>
      <w:r w:rsidRPr="00192176">
        <w:rPr>
          <w:szCs w:val="24"/>
        </w:rPr>
        <w:t>Axelsson CAW</w:t>
      </w:r>
      <w:r w:rsidR="00946344">
        <w:rPr>
          <w:szCs w:val="24"/>
        </w:rPr>
        <w:t xml:space="preserve"> and</w:t>
      </w:r>
      <w:r w:rsidR="00946344" w:rsidRPr="00192176">
        <w:rPr>
          <w:szCs w:val="24"/>
        </w:rPr>
        <w:t xml:space="preserve"> </w:t>
      </w:r>
      <w:r w:rsidRPr="00192176">
        <w:rPr>
          <w:szCs w:val="24"/>
        </w:rPr>
        <w:t xml:space="preserve">Nygren T (2024) ‘The advantage of videos over text to boost adolescents’ lateral reading in a digital workshop’, </w:t>
      </w:r>
      <w:r w:rsidRPr="00192176">
        <w:rPr>
          <w:i/>
          <w:iCs/>
          <w:szCs w:val="24"/>
        </w:rPr>
        <w:t>Behaviour and Information Technology</w:t>
      </w:r>
      <w:r w:rsidRPr="00192176">
        <w:rPr>
          <w:szCs w:val="24"/>
        </w:rPr>
        <w:t xml:space="preserve">, 1–15, </w:t>
      </w:r>
      <w:hyperlink r:id="rId32" w:history="1">
        <w:r w:rsidRPr="00192176">
          <w:rPr>
            <w:rStyle w:val="Hyperlink"/>
            <w:szCs w:val="24"/>
          </w:rPr>
          <w:t>https://doi.org/10.1080/0144929X.2024.2308046</w:t>
        </w:r>
      </w:hyperlink>
      <w:r w:rsidRPr="00192176">
        <w:rPr>
          <w:szCs w:val="24"/>
        </w:rPr>
        <w:t>.</w:t>
      </w:r>
      <w:r>
        <w:rPr>
          <w:szCs w:val="24"/>
        </w:rPr>
        <w:t xml:space="preserve"> </w:t>
      </w:r>
    </w:p>
    <w:p w14:paraId="28823347" w14:textId="22F54F18" w:rsidR="007D0715" w:rsidRPr="00192176" w:rsidRDefault="007D0715" w:rsidP="007D0715">
      <w:pPr>
        <w:rPr>
          <w:szCs w:val="24"/>
        </w:rPr>
      </w:pPr>
      <w:r w:rsidRPr="00192176">
        <w:rPr>
          <w:szCs w:val="24"/>
        </w:rPr>
        <w:t xml:space="preserve">Axelsson CAW, Nygren T, </w:t>
      </w:r>
      <w:proofErr w:type="spellStart"/>
      <w:r w:rsidRPr="00192176">
        <w:rPr>
          <w:szCs w:val="24"/>
        </w:rPr>
        <w:t>Roozenbeek</w:t>
      </w:r>
      <w:proofErr w:type="spellEnd"/>
      <w:r w:rsidRPr="00192176">
        <w:rPr>
          <w:szCs w:val="24"/>
        </w:rPr>
        <w:t xml:space="preserve"> J</w:t>
      </w:r>
      <w:r w:rsidR="00946344">
        <w:rPr>
          <w:szCs w:val="24"/>
        </w:rPr>
        <w:t xml:space="preserve"> and</w:t>
      </w:r>
      <w:r w:rsidRPr="00192176">
        <w:rPr>
          <w:szCs w:val="24"/>
        </w:rPr>
        <w:t xml:space="preserve"> van der Linden S (2024) ‘Bad news in the civics classroom: how serious gameplay fosters teenagers’ ability to discern misinformation techniques’, </w:t>
      </w:r>
      <w:r w:rsidRPr="00192176">
        <w:rPr>
          <w:i/>
          <w:iCs/>
          <w:szCs w:val="24"/>
        </w:rPr>
        <w:t>Journal of Research on Technology in Education</w:t>
      </w:r>
      <w:r w:rsidRPr="00192176">
        <w:rPr>
          <w:szCs w:val="24"/>
        </w:rPr>
        <w:t xml:space="preserve">, </w:t>
      </w:r>
      <w:r w:rsidR="003F6956">
        <w:rPr>
          <w:szCs w:val="24"/>
        </w:rPr>
        <w:t xml:space="preserve">57(5): </w:t>
      </w:r>
      <w:r w:rsidR="008D13BC">
        <w:rPr>
          <w:szCs w:val="24"/>
        </w:rPr>
        <w:t>992-1018,</w:t>
      </w:r>
      <w:r w:rsidRPr="00192176">
        <w:rPr>
          <w:szCs w:val="24"/>
        </w:rPr>
        <w:t xml:space="preserve"> </w:t>
      </w:r>
      <w:hyperlink r:id="rId33" w:history="1">
        <w:r w:rsidRPr="00192176">
          <w:rPr>
            <w:rStyle w:val="Hyperlink"/>
            <w:szCs w:val="24"/>
          </w:rPr>
          <w:t>https://doi.org/10.1080/15391523.2024.2338451</w:t>
        </w:r>
      </w:hyperlink>
      <w:r w:rsidRPr="00192176">
        <w:rPr>
          <w:szCs w:val="24"/>
        </w:rPr>
        <w:t>.</w:t>
      </w:r>
      <w:r>
        <w:rPr>
          <w:szCs w:val="24"/>
        </w:rPr>
        <w:t xml:space="preserve"> </w:t>
      </w:r>
    </w:p>
    <w:p w14:paraId="25F5F80C" w14:textId="4513B172" w:rsidR="007D0715" w:rsidRPr="00192176" w:rsidRDefault="007D0715" w:rsidP="007D0715">
      <w:pPr>
        <w:rPr>
          <w:szCs w:val="24"/>
        </w:rPr>
      </w:pPr>
      <w:r w:rsidRPr="002774F5">
        <w:rPr>
          <w:szCs w:val="24"/>
        </w:rPr>
        <w:t xml:space="preserve">Bak-Coleman JB, Kennedy I, Wack M, Beers A, Schafer JS, Spiro ES, </w:t>
      </w:r>
      <w:r w:rsidR="00146A02" w:rsidRPr="002774F5">
        <w:rPr>
          <w:szCs w:val="24"/>
        </w:rPr>
        <w:t>Starbird K, West JD</w:t>
      </w:r>
      <w:r w:rsidRPr="002774F5">
        <w:rPr>
          <w:szCs w:val="24"/>
        </w:rPr>
        <w:t xml:space="preserve"> (2022) ‘Combining interventions to reduce the spread of viral misinformation’, </w:t>
      </w:r>
      <w:r w:rsidRPr="002774F5">
        <w:rPr>
          <w:i/>
          <w:iCs/>
          <w:szCs w:val="24"/>
        </w:rPr>
        <w:t>Nature Human Behaviour</w:t>
      </w:r>
      <w:r w:rsidRPr="002774F5">
        <w:rPr>
          <w:szCs w:val="24"/>
        </w:rPr>
        <w:t xml:space="preserve">, 6: 1372–1380, </w:t>
      </w:r>
      <w:hyperlink r:id="rId34" w:history="1">
        <w:r w:rsidRPr="002774F5">
          <w:rPr>
            <w:rStyle w:val="Hyperlink"/>
            <w:szCs w:val="24"/>
          </w:rPr>
          <w:t>https://doi.org/10.1038/s41562-022-01388-6</w:t>
        </w:r>
      </w:hyperlink>
      <w:r w:rsidRPr="002774F5">
        <w:rPr>
          <w:szCs w:val="24"/>
        </w:rPr>
        <w:t>.</w:t>
      </w:r>
      <w:r>
        <w:rPr>
          <w:szCs w:val="24"/>
        </w:rPr>
        <w:t xml:space="preserve"> </w:t>
      </w:r>
    </w:p>
    <w:p w14:paraId="6839B0A2" w14:textId="77777777" w:rsidR="007D0715" w:rsidRPr="00192176" w:rsidRDefault="007D0715" w:rsidP="007D0715">
      <w:pPr>
        <w:rPr>
          <w:szCs w:val="24"/>
        </w:rPr>
      </w:pPr>
      <w:r w:rsidRPr="00192176">
        <w:rPr>
          <w:szCs w:val="24"/>
        </w:rPr>
        <w:t xml:space="preserve">Bensley DA (2023) ‘Critical thinking, intelligence, and unsubstantiated beliefs: an integrative review’, </w:t>
      </w:r>
      <w:r w:rsidRPr="00192176">
        <w:rPr>
          <w:i/>
          <w:iCs/>
          <w:szCs w:val="24"/>
        </w:rPr>
        <w:t>Journal of Intelligence</w:t>
      </w:r>
      <w:r w:rsidRPr="00192176">
        <w:rPr>
          <w:szCs w:val="24"/>
        </w:rPr>
        <w:t xml:space="preserve">, 11(11): 207, </w:t>
      </w:r>
      <w:hyperlink r:id="rId35" w:history="1">
        <w:r w:rsidRPr="00192176">
          <w:rPr>
            <w:rStyle w:val="Hyperlink"/>
            <w:szCs w:val="24"/>
          </w:rPr>
          <w:t>https://doi.org/10.3390/jintelligence11110207</w:t>
        </w:r>
      </w:hyperlink>
      <w:r w:rsidRPr="00192176">
        <w:rPr>
          <w:szCs w:val="24"/>
        </w:rPr>
        <w:t>.</w:t>
      </w:r>
      <w:r>
        <w:rPr>
          <w:szCs w:val="24"/>
        </w:rPr>
        <w:t xml:space="preserve"> </w:t>
      </w:r>
    </w:p>
    <w:p w14:paraId="083A339C" w14:textId="4DBE46F6" w:rsidR="007D0715" w:rsidRPr="00192176" w:rsidRDefault="007D0715" w:rsidP="007D0715">
      <w:pPr>
        <w:rPr>
          <w:szCs w:val="24"/>
        </w:rPr>
      </w:pPr>
      <w:r w:rsidRPr="00192176">
        <w:rPr>
          <w:szCs w:val="24"/>
        </w:rPr>
        <w:t>Bowyer B</w:t>
      </w:r>
      <w:r w:rsidR="00075C66">
        <w:rPr>
          <w:szCs w:val="24"/>
        </w:rPr>
        <w:t xml:space="preserve"> and</w:t>
      </w:r>
      <w:r w:rsidRPr="00192176">
        <w:rPr>
          <w:szCs w:val="24"/>
        </w:rPr>
        <w:t xml:space="preserve"> Kahne J (2020) ‘The digital dimensions of civic education: assessing the effects of learning opportunities’, </w:t>
      </w:r>
      <w:r w:rsidRPr="00192176">
        <w:rPr>
          <w:i/>
          <w:iCs/>
          <w:szCs w:val="24"/>
        </w:rPr>
        <w:t>Journal of Applied Developmental Psychology</w:t>
      </w:r>
      <w:r w:rsidRPr="00192176">
        <w:rPr>
          <w:szCs w:val="24"/>
        </w:rPr>
        <w:t xml:space="preserve">, 69: 101162, </w:t>
      </w:r>
      <w:hyperlink r:id="rId36" w:history="1">
        <w:r w:rsidRPr="00192176">
          <w:rPr>
            <w:rStyle w:val="Hyperlink"/>
            <w:szCs w:val="24"/>
          </w:rPr>
          <w:t>https://doi.org/10.1016/j.appdev.2020.101162</w:t>
        </w:r>
      </w:hyperlink>
      <w:r w:rsidRPr="00192176">
        <w:rPr>
          <w:szCs w:val="24"/>
        </w:rPr>
        <w:t>.</w:t>
      </w:r>
      <w:r>
        <w:rPr>
          <w:szCs w:val="24"/>
        </w:rPr>
        <w:t xml:space="preserve"> </w:t>
      </w:r>
    </w:p>
    <w:p w14:paraId="3BDAABB5" w14:textId="3B325630" w:rsidR="007D0715" w:rsidRPr="00192176" w:rsidRDefault="007D0715" w:rsidP="007D0715">
      <w:pPr>
        <w:rPr>
          <w:szCs w:val="24"/>
        </w:rPr>
      </w:pPr>
      <w:r w:rsidRPr="00192176">
        <w:rPr>
          <w:szCs w:val="24"/>
        </w:rPr>
        <w:t xml:space="preserve">Brashier NM (2024) ‘Fighting misinformation among the most vulnerable users’, </w:t>
      </w:r>
      <w:r w:rsidRPr="00192176">
        <w:rPr>
          <w:i/>
          <w:iCs/>
          <w:szCs w:val="24"/>
        </w:rPr>
        <w:t>Current Opinion in Psychology</w:t>
      </w:r>
      <w:r w:rsidRPr="00192176">
        <w:rPr>
          <w:szCs w:val="24"/>
        </w:rPr>
        <w:t xml:space="preserve">, </w:t>
      </w:r>
      <w:r w:rsidR="005F3861">
        <w:rPr>
          <w:szCs w:val="24"/>
        </w:rPr>
        <w:t xml:space="preserve">57: </w:t>
      </w:r>
      <w:r w:rsidRPr="00192176">
        <w:rPr>
          <w:szCs w:val="24"/>
        </w:rPr>
        <w:t xml:space="preserve">101813, </w:t>
      </w:r>
      <w:hyperlink r:id="rId37" w:history="1">
        <w:r w:rsidRPr="00192176">
          <w:rPr>
            <w:rStyle w:val="Hyperlink"/>
            <w:szCs w:val="24"/>
          </w:rPr>
          <w:t>https://doi.org/10.1016/j.copsyc.2024.101813</w:t>
        </w:r>
      </w:hyperlink>
      <w:r w:rsidRPr="00192176">
        <w:rPr>
          <w:szCs w:val="24"/>
        </w:rPr>
        <w:t>.</w:t>
      </w:r>
      <w:r>
        <w:rPr>
          <w:szCs w:val="24"/>
        </w:rPr>
        <w:t xml:space="preserve"> </w:t>
      </w:r>
    </w:p>
    <w:p w14:paraId="4EFA15E5" w14:textId="7C2DD0D3" w:rsidR="007D0715" w:rsidRPr="00192176" w:rsidRDefault="007D0715" w:rsidP="007D0715">
      <w:pPr>
        <w:rPr>
          <w:szCs w:val="24"/>
        </w:rPr>
      </w:pPr>
      <w:r w:rsidRPr="00192176">
        <w:rPr>
          <w:szCs w:val="24"/>
        </w:rPr>
        <w:t>Brashier NM</w:t>
      </w:r>
      <w:r w:rsidR="00BB2A80">
        <w:rPr>
          <w:szCs w:val="24"/>
        </w:rPr>
        <w:t xml:space="preserve"> and</w:t>
      </w:r>
      <w:r w:rsidRPr="00192176">
        <w:rPr>
          <w:szCs w:val="24"/>
        </w:rPr>
        <w:t xml:space="preserve"> Schacter DL (2020) ‘Aging in an era of fake news’, </w:t>
      </w:r>
      <w:r w:rsidRPr="00192176">
        <w:rPr>
          <w:i/>
          <w:iCs/>
          <w:szCs w:val="24"/>
        </w:rPr>
        <w:t>Current Directions in Psychological Science</w:t>
      </w:r>
      <w:r w:rsidRPr="00192176">
        <w:rPr>
          <w:szCs w:val="24"/>
        </w:rPr>
        <w:t>, 29(3): 316–323</w:t>
      </w:r>
      <w:r w:rsidR="00060632">
        <w:rPr>
          <w:szCs w:val="24"/>
        </w:rPr>
        <w:t xml:space="preserve">, </w:t>
      </w:r>
      <w:hyperlink r:id="rId38" w:history="1">
        <w:r w:rsidR="00060632" w:rsidRPr="002D7FD9">
          <w:rPr>
            <w:rStyle w:val="Hyperlink"/>
            <w:szCs w:val="24"/>
          </w:rPr>
          <w:t>https://doi.org/10.1177/0963721420915872</w:t>
        </w:r>
      </w:hyperlink>
      <w:r w:rsidR="00060632">
        <w:rPr>
          <w:szCs w:val="24"/>
        </w:rPr>
        <w:t xml:space="preserve">. </w:t>
      </w:r>
    </w:p>
    <w:p w14:paraId="6B26D58B" w14:textId="5DD3135A" w:rsidR="007D0715" w:rsidRPr="00192176" w:rsidRDefault="007D0715" w:rsidP="007D0715">
      <w:pPr>
        <w:rPr>
          <w:szCs w:val="24"/>
        </w:rPr>
      </w:pPr>
      <w:r w:rsidRPr="00192176">
        <w:rPr>
          <w:szCs w:val="24"/>
        </w:rPr>
        <w:t>Breakstone J</w:t>
      </w:r>
      <w:r w:rsidR="00BB2A80">
        <w:rPr>
          <w:szCs w:val="24"/>
        </w:rPr>
        <w:t xml:space="preserve"> and</w:t>
      </w:r>
      <w:r w:rsidRPr="00192176">
        <w:rPr>
          <w:szCs w:val="24"/>
        </w:rPr>
        <w:t xml:space="preserve"> McGrew S (2022) ‘</w:t>
      </w:r>
      <w:hyperlink r:id="rId39" w:history="1">
        <w:r w:rsidRPr="00192176">
          <w:rPr>
            <w:rStyle w:val="Hyperlink"/>
            <w:szCs w:val="24"/>
          </w:rPr>
          <w:t>Teaching civic online reasoning: across the curriculum’</w:t>
        </w:r>
      </w:hyperlink>
      <w:r w:rsidRPr="00192176">
        <w:rPr>
          <w:szCs w:val="24"/>
        </w:rPr>
        <w:t xml:space="preserve">, </w:t>
      </w:r>
      <w:r w:rsidRPr="00192176">
        <w:rPr>
          <w:i/>
          <w:iCs/>
          <w:szCs w:val="24"/>
        </w:rPr>
        <w:t>School Administrator</w:t>
      </w:r>
      <w:r w:rsidRPr="00192176">
        <w:rPr>
          <w:szCs w:val="24"/>
        </w:rPr>
        <w:t>, 79(5): 22–25</w:t>
      </w:r>
      <w:r>
        <w:rPr>
          <w:szCs w:val="24"/>
        </w:rPr>
        <w:t>.</w:t>
      </w:r>
    </w:p>
    <w:p w14:paraId="4BDB3027" w14:textId="255237CF" w:rsidR="007D0715" w:rsidRPr="00192176" w:rsidRDefault="007D0715" w:rsidP="007D0715">
      <w:pPr>
        <w:rPr>
          <w:szCs w:val="24"/>
        </w:rPr>
      </w:pPr>
      <w:r w:rsidRPr="00192176">
        <w:rPr>
          <w:szCs w:val="24"/>
        </w:rPr>
        <w:t xml:space="preserve">Brodsky JE, Brooks PJ, </w:t>
      </w:r>
      <w:proofErr w:type="spellStart"/>
      <w:r w:rsidRPr="00192176">
        <w:rPr>
          <w:szCs w:val="24"/>
        </w:rPr>
        <w:t>Pavlounis</w:t>
      </w:r>
      <w:proofErr w:type="spellEnd"/>
      <w:r w:rsidRPr="00192176">
        <w:rPr>
          <w:szCs w:val="24"/>
        </w:rPr>
        <w:t xml:space="preserve"> D</w:t>
      </w:r>
      <w:r w:rsidR="00946344">
        <w:rPr>
          <w:szCs w:val="24"/>
        </w:rPr>
        <w:t xml:space="preserve"> and</w:t>
      </w:r>
      <w:r w:rsidR="00946344" w:rsidRPr="00192176">
        <w:rPr>
          <w:szCs w:val="24"/>
        </w:rPr>
        <w:t xml:space="preserve"> </w:t>
      </w:r>
      <w:r w:rsidRPr="00192176">
        <w:rPr>
          <w:szCs w:val="24"/>
        </w:rPr>
        <w:t xml:space="preserve">Johnston JL (2023) ‘Instruction increases Canadian students’ preference for and use of lateral reading strategies to fact-check online information’, </w:t>
      </w:r>
      <w:r w:rsidRPr="00192176">
        <w:rPr>
          <w:i/>
          <w:iCs/>
          <w:szCs w:val="24"/>
        </w:rPr>
        <w:t>AERA Open</w:t>
      </w:r>
      <w:r w:rsidRPr="00192176">
        <w:rPr>
          <w:szCs w:val="24"/>
        </w:rPr>
        <w:t xml:space="preserve">, 9: 23328584231192106, </w:t>
      </w:r>
      <w:hyperlink r:id="rId40" w:history="1">
        <w:r w:rsidRPr="00192176">
          <w:rPr>
            <w:rStyle w:val="Hyperlink"/>
            <w:szCs w:val="24"/>
          </w:rPr>
          <w:t>https://doi.org/10.1177/23328584231192106</w:t>
        </w:r>
      </w:hyperlink>
      <w:r w:rsidRPr="00192176">
        <w:rPr>
          <w:szCs w:val="24"/>
        </w:rPr>
        <w:t>.</w:t>
      </w:r>
      <w:r>
        <w:rPr>
          <w:szCs w:val="24"/>
        </w:rPr>
        <w:t xml:space="preserve"> </w:t>
      </w:r>
    </w:p>
    <w:p w14:paraId="32D32F58" w14:textId="02F08976" w:rsidR="007D0715" w:rsidRPr="00192176" w:rsidRDefault="007D0715" w:rsidP="007D0715">
      <w:pPr>
        <w:rPr>
          <w:szCs w:val="24"/>
        </w:rPr>
      </w:pPr>
      <w:r w:rsidRPr="00192176">
        <w:rPr>
          <w:szCs w:val="24"/>
        </w:rPr>
        <w:t>Brodsky JE, Brooks PJ, Scimeca D, Galati P, Todorova R</w:t>
      </w:r>
      <w:r w:rsidR="00946344">
        <w:rPr>
          <w:szCs w:val="24"/>
        </w:rPr>
        <w:t xml:space="preserve"> and</w:t>
      </w:r>
      <w:r w:rsidRPr="00192176">
        <w:rPr>
          <w:szCs w:val="24"/>
        </w:rPr>
        <w:t xml:space="preserve"> Caulfield M (2021) ‘Associations between online instruction in lateral reading strategies and fact-checking COVID-19 news among college students’, </w:t>
      </w:r>
      <w:r w:rsidRPr="00192176">
        <w:rPr>
          <w:i/>
          <w:iCs/>
          <w:szCs w:val="24"/>
        </w:rPr>
        <w:t>AERA Open</w:t>
      </w:r>
      <w:r w:rsidRPr="00192176">
        <w:rPr>
          <w:szCs w:val="24"/>
        </w:rPr>
        <w:t xml:space="preserve">, 7: 23328584211038937, </w:t>
      </w:r>
      <w:hyperlink r:id="rId41" w:history="1">
        <w:r w:rsidRPr="00192176">
          <w:rPr>
            <w:rStyle w:val="Hyperlink"/>
            <w:szCs w:val="24"/>
          </w:rPr>
          <w:t>https://doi.org/10.1177/23328584211038937</w:t>
        </w:r>
      </w:hyperlink>
      <w:r w:rsidRPr="00192176">
        <w:rPr>
          <w:szCs w:val="24"/>
        </w:rPr>
        <w:t>.</w:t>
      </w:r>
      <w:r>
        <w:rPr>
          <w:szCs w:val="24"/>
        </w:rPr>
        <w:t xml:space="preserve"> </w:t>
      </w:r>
    </w:p>
    <w:p w14:paraId="6ACC2160" w14:textId="10D5E1FC" w:rsidR="007D0715" w:rsidRPr="00192176" w:rsidRDefault="007D0715" w:rsidP="007D0715">
      <w:pPr>
        <w:rPr>
          <w:szCs w:val="24"/>
        </w:rPr>
      </w:pPr>
      <w:r w:rsidRPr="00192176">
        <w:rPr>
          <w:szCs w:val="24"/>
        </w:rPr>
        <w:t>Bronkhorst H, Roorda G, Suhre C</w:t>
      </w:r>
      <w:r w:rsidR="00946344">
        <w:rPr>
          <w:szCs w:val="24"/>
        </w:rPr>
        <w:t xml:space="preserve"> and</w:t>
      </w:r>
      <w:r w:rsidRPr="00192176">
        <w:rPr>
          <w:szCs w:val="24"/>
        </w:rPr>
        <w:t xml:space="preserve"> Goedhart M (2020) ‘Logical reasoning in formal and everyday reasoning tasks’, </w:t>
      </w:r>
      <w:r w:rsidRPr="00192176">
        <w:rPr>
          <w:i/>
          <w:iCs/>
          <w:szCs w:val="24"/>
        </w:rPr>
        <w:t>International Journal of Science and Mathematics Education</w:t>
      </w:r>
      <w:r w:rsidRPr="00192176">
        <w:rPr>
          <w:szCs w:val="24"/>
        </w:rPr>
        <w:t xml:space="preserve">, 18: 1673–1694, </w:t>
      </w:r>
      <w:hyperlink r:id="rId42" w:history="1">
        <w:r w:rsidRPr="00192176">
          <w:rPr>
            <w:rStyle w:val="Hyperlink"/>
            <w:szCs w:val="24"/>
          </w:rPr>
          <w:t>https://doi.org/10.1007/s10763-019-10039-8</w:t>
        </w:r>
      </w:hyperlink>
      <w:r w:rsidRPr="00192176">
        <w:rPr>
          <w:szCs w:val="24"/>
        </w:rPr>
        <w:t>.</w:t>
      </w:r>
      <w:r>
        <w:rPr>
          <w:szCs w:val="24"/>
        </w:rPr>
        <w:t xml:space="preserve"> </w:t>
      </w:r>
    </w:p>
    <w:p w14:paraId="34295AFC" w14:textId="7EEF10F4" w:rsidR="007D0715" w:rsidRPr="00192176" w:rsidRDefault="007D0715" w:rsidP="007D0715">
      <w:pPr>
        <w:rPr>
          <w:szCs w:val="24"/>
        </w:rPr>
      </w:pPr>
      <w:r w:rsidRPr="00192176">
        <w:rPr>
          <w:szCs w:val="24"/>
        </w:rPr>
        <w:t xml:space="preserve">Burth S, Riewestahl E, Ramasubramanian S, Foster B, Johnson PR, </w:t>
      </w:r>
      <w:proofErr w:type="spellStart"/>
      <w:r w:rsidRPr="00192176">
        <w:rPr>
          <w:szCs w:val="24"/>
        </w:rPr>
        <w:t>Mihailidis</w:t>
      </w:r>
      <w:proofErr w:type="spellEnd"/>
      <w:r w:rsidRPr="00192176">
        <w:rPr>
          <w:szCs w:val="24"/>
        </w:rPr>
        <w:t xml:space="preserve"> P</w:t>
      </w:r>
      <w:r w:rsidR="00946344">
        <w:rPr>
          <w:szCs w:val="24"/>
        </w:rPr>
        <w:t xml:space="preserve"> and</w:t>
      </w:r>
      <w:r w:rsidRPr="00192176">
        <w:rPr>
          <w:szCs w:val="24"/>
        </w:rPr>
        <w:t xml:space="preserve"> Tully M (2024) ‘Mapping media literacy impact in the US: a review of literature and call for equity’, </w:t>
      </w:r>
      <w:r w:rsidRPr="00192176">
        <w:rPr>
          <w:i/>
          <w:iCs/>
          <w:szCs w:val="24"/>
        </w:rPr>
        <w:t>Annals of the International Communication Association</w:t>
      </w:r>
      <w:r w:rsidRPr="00192176">
        <w:rPr>
          <w:szCs w:val="24"/>
        </w:rPr>
        <w:t xml:space="preserve">, </w:t>
      </w:r>
      <w:r w:rsidR="003F1D12">
        <w:rPr>
          <w:szCs w:val="24"/>
        </w:rPr>
        <w:t>48(4):</w:t>
      </w:r>
      <w:r w:rsidR="003E7ED7">
        <w:rPr>
          <w:szCs w:val="24"/>
        </w:rPr>
        <w:t xml:space="preserve"> 336-357</w:t>
      </w:r>
      <w:r w:rsidRPr="00192176">
        <w:rPr>
          <w:szCs w:val="24"/>
        </w:rPr>
        <w:t xml:space="preserve">, </w:t>
      </w:r>
      <w:hyperlink r:id="rId43" w:history="1">
        <w:r w:rsidRPr="00192176">
          <w:rPr>
            <w:rStyle w:val="Hyperlink"/>
            <w:szCs w:val="24"/>
          </w:rPr>
          <w:t>https://doi.org/10.1080/23808985.2024.2354357</w:t>
        </w:r>
      </w:hyperlink>
      <w:r w:rsidRPr="00192176">
        <w:rPr>
          <w:szCs w:val="24"/>
        </w:rPr>
        <w:t>.</w:t>
      </w:r>
      <w:r>
        <w:rPr>
          <w:szCs w:val="24"/>
        </w:rPr>
        <w:t xml:space="preserve"> </w:t>
      </w:r>
    </w:p>
    <w:p w14:paraId="319439CF" w14:textId="28F3CFFA" w:rsidR="007D0715" w:rsidRPr="00192176" w:rsidRDefault="007D0715" w:rsidP="007D0715">
      <w:pPr>
        <w:rPr>
          <w:szCs w:val="24"/>
        </w:rPr>
      </w:pPr>
      <w:r w:rsidRPr="00192176">
        <w:rPr>
          <w:szCs w:val="24"/>
        </w:rPr>
        <w:t xml:space="preserve">Capewell G, Maertens R, </w:t>
      </w:r>
      <w:proofErr w:type="spellStart"/>
      <w:r w:rsidRPr="00192176">
        <w:rPr>
          <w:szCs w:val="24"/>
        </w:rPr>
        <w:t>Remshard</w:t>
      </w:r>
      <w:proofErr w:type="spellEnd"/>
      <w:r w:rsidRPr="00192176">
        <w:rPr>
          <w:szCs w:val="24"/>
        </w:rPr>
        <w:t xml:space="preserve"> M, Van Der Linden S, Compton J, Lewandowsky S</w:t>
      </w:r>
      <w:r w:rsidR="00946344">
        <w:rPr>
          <w:szCs w:val="24"/>
        </w:rPr>
        <w:t xml:space="preserve"> and</w:t>
      </w:r>
      <w:r w:rsidRPr="00192176">
        <w:rPr>
          <w:szCs w:val="24"/>
        </w:rPr>
        <w:t xml:space="preserve"> </w:t>
      </w:r>
      <w:proofErr w:type="spellStart"/>
      <w:r w:rsidRPr="00192176">
        <w:rPr>
          <w:szCs w:val="24"/>
        </w:rPr>
        <w:t>Roozenbeek</w:t>
      </w:r>
      <w:proofErr w:type="spellEnd"/>
      <w:r w:rsidRPr="00192176">
        <w:rPr>
          <w:szCs w:val="24"/>
        </w:rPr>
        <w:t xml:space="preserve"> J (2024) ‘Misinformation interventions decay rapidly without an immediate </w:t>
      </w:r>
      <w:proofErr w:type="spellStart"/>
      <w:r w:rsidRPr="00192176">
        <w:rPr>
          <w:szCs w:val="24"/>
        </w:rPr>
        <w:t>posttest</w:t>
      </w:r>
      <w:proofErr w:type="spellEnd"/>
      <w:r w:rsidRPr="00192176">
        <w:rPr>
          <w:szCs w:val="24"/>
        </w:rPr>
        <w:t xml:space="preserve">’, </w:t>
      </w:r>
      <w:r w:rsidRPr="00192176">
        <w:rPr>
          <w:i/>
          <w:iCs/>
          <w:szCs w:val="24"/>
        </w:rPr>
        <w:t>Journal of Applied Social Psychology</w:t>
      </w:r>
      <w:r w:rsidRPr="00192176">
        <w:rPr>
          <w:szCs w:val="24"/>
        </w:rPr>
        <w:t xml:space="preserve">, 54(8): 441–454, </w:t>
      </w:r>
      <w:hyperlink r:id="rId44" w:history="1">
        <w:r w:rsidRPr="00192176">
          <w:rPr>
            <w:rStyle w:val="Hyperlink"/>
            <w:szCs w:val="24"/>
          </w:rPr>
          <w:t>https://doi.org/10.1111/jasp.13049</w:t>
        </w:r>
      </w:hyperlink>
      <w:r w:rsidRPr="00192176">
        <w:rPr>
          <w:szCs w:val="24"/>
        </w:rPr>
        <w:t>.</w:t>
      </w:r>
      <w:r>
        <w:rPr>
          <w:szCs w:val="24"/>
        </w:rPr>
        <w:t xml:space="preserve"> </w:t>
      </w:r>
    </w:p>
    <w:p w14:paraId="1E7A7FE3" w14:textId="0C0C61E4" w:rsidR="007D0715" w:rsidRPr="00192176" w:rsidRDefault="007D0715" w:rsidP="007D0715">
      <w:pPr>
        <w:rPr>
          <w:szCs w:val="24"/>
        </w:rPr>
      </w:pPr>
      <w:proofErr w:type="spellStart"/>
      <w:r w:rsidRPr="00192176">
        <w:rPr>
          <w:szCs w:val="24"/>
        </w:rPr>
        <w:t>Čavojová</w:t>
      </w:r>
      <w:proofErr w:type="spellEnd"/>
      <w:r w:rsidRPr="00192176">
        <w:rPr>
          <w:szCs w:val="24"/>
        </w:rPr>
        <w:t xml:space="preserve"> V, </w:t>
      </w:r>
      <w:proofErr w:type="spellStart"/>
      <w:r w:rsidRPr="00192176">
        <w:rPr>
          <w:szCs w:val="24"/>
        </w:rPr>
        <w:t>Šrol</w:t>
      </w:r>
      <w:proofErr w:type="spellEnd"/>
      <w:r w:rsidRPr="00192176">
        <w:rPr>
          <w:szCs w:val="24"/>
        </w:rPr>
        <w:t xml:space="preserve"> J</w:t>
      </w:r>
      <w:r w:rsidR="00946344">
        <w:rPr>
          <w:szCs w:val="24"/>
        </w:rPr>
        <w:t xml:space="preserve"> and</w:t>
      </w:r>
      <w:r w:rsidRPr="00192176">
        <w:rPr>
          <w:szCs w:val="24"/>
        </w:rPr>
        <w:t xml:space="preserve"> </w:t>
      </w:r>
      <w:proofErr w:type="spellStart"/>
      <w:r w:rsidRPr="00192176">
        <w:rPr>
          <w:szCs w:val="24"/>
        </w:rPr>
        <w:t>Ballová</w:t>
      </w:r>
      <w:proofErr w:type="spellEnd"/>
      <w:r w:rsidRPr="00192176">
        <w:rPr>
          <w:szCs w:val="24"/>
        </w:rPr>
        <w:t xml:space="preserve"> Mikušková E (2024) ‘Scientific reasoning is associated with rejection of unfounded health beliefs and adherence to evidence-based regulations during the Covid-19 pandemic’, </w:t>
      </w:r>
      <w:r w:rsidRPr="00192176">
        <w:rPr>
          <w:i/>
          <w:iCs/>
          <w:szCs w:val="24"/>
        </w:rPr>
        <w:t>Current Psychology</w:t>
      </w:r>
      <w:r w:rsidRPr="00192176">
        <w:rPr>
          <w:szCs w:val="24"/>
        </w:rPr>
        <w:t xml:space="preserve">, 43: 8288–8302, </w:t>
      </w:r>
      <w:hyperlink r:id="rId45" w:history="1">
        <w:r w:rsidRPr="00192176">
          <w:rPr>
            <w:rStyle w:val="Hyperlink"/>
            <w:szCs w:val="24"/>
          </w:rPr>
          <w:t>https://doi.org/10.1007/s12144-023-04284-y</w:t>
        </w:r>
      </w:hyperlink>
      <w:r w:rsidRPr="00192176">
        <w:rPr>
          <w:szCs w:val="24"/>
        </w:rPr>
        <w:t>.</w:t>
      </w:r>
      <w:r>
        <w:rPr>
          <w:szCs w:val="24"/>
        </w:rPr>
        <w:t xml:space="preserve"> </w:t>
      </w:r>
    </w:p>
    <w:p w14:paraId="2DE88F0B" w14:textId="77777777" w:rsidR="000C4851" w:rsidRDefault="000C4851" w:rsidP="000C4851">
      <w:pPr>
        <w:rPr>
          <w:szCs w:val="24"/>
        </w:rPr>
      </w:pPr>
      <w:r w:rsidRPr="00E75BD8">
        <w:rPr>
          <w:szCs w:val="24"/>
        </w:rPr>
        <w:t>Clark S</w:t>
      </w:r>
      <w:r>
        <w:rPr>
          <w:szCs w:val="24"/>
        </w:rPr>
        <w:t xml:space="preserve"> and</w:t>
      </w:r>
      <w:r w:rsidRPr="00E75BD8">
        <w:rPr>
          <w:szCs w:val="24"/>
        </w:rPr>
        <w:t xml:space="preserve"> Lewandowsky S</w:t>
      </w:r>
      <w:r>
        <w:rPr>
          <w:szCs w:val="24"/>
        </w:rPr>
        <w:t xml:space="preserve"> (2026)</w:t>
      </w:r>
      <w:r w:rsidRPr="00E75BD8">
        <w:rPr>
          <w:szCs w:val="24"/>
        </w:rPr>
        <w:t xml:space="preserve"> </w:t>
      </w:r>
      <w:r>
        <w:rPr>
          <w:szCs w:val="24"/>
        </w:rPr>
        <w:t>‘</w:t>
      </w:r>
      <w:r w:rsidRPr="00E75BD8">
        <w:rPr>
          <w:szCs w:val="24"/>
        </w:rPr>
        <w:t>The continued influence of AI-generated deepfake videos despite transparency warnings</w:t>
      </w:r>
      <w:r>
        <w:rPr>
          <w:szCs w:val="24"/>
        </w:rPr>
        <w:t>’,</w:t>
      </w:r>
      <w:r w:rsidRPr="00E75BD8">
        <w:rPr>
          <w:szCs w:val="24"/>
        </w:rPr>
        <w:t xml:space="preserve"> </w:t>
      </w:r>
      <w:r w:rsidRPr="00E75BD8">
        <w:rPr>
          <w:i/>
          <w:iCs/>
          <w:szCs w:val="24"/>
        </w:rPr>
        <w:t>Commun</w:t>
      </w:r>
      <w:r>
        <w:rPr>
          <w:i/>
          <w:iCs/>
          <w:szCs w:val="24"/>
        </w:rPr>
        <w:t>ications</w:t>
      </w:r>
      <w:r w:rsidRPr="00E75BD8">
        <w:rPr>
          <w:i/>
          <w:iCs/>
          <w:szCs w:val="24"/>
        </w:rPr>
        <w:t xml:space="preserve"> Psychol</w:t>
      </w:r>
      <w:r>
        <w:rPr>
          <w:i/>
          <w:iCs/>
          <w:szCs w:val="24"/>
        </w:rPr>
        <w:t>ogy,</w:t>
      </w:r>
      <w:r w:rsidRPr="00E75BD8">
        <w:rPr>
          <w:szCs w:val="24"/>
        </w:rPr>
        <w:t xml:space="preserve"> </w:t>
      </w:r>
      <w:r>
        <w:rPr>
          <w:szCs w:val="24"/>
        </w:rPr>
        <w:t xml:space="preserve">4: </w:t>
      </w:r>
      <w:r w:rsidRPr="00E75BD8">
        <w:rPr>
          <w:szCs w:val="24"/>
        </w:rPr>
        <w:t>13</w:t>
      </w:r>
      <w:r>
        <w:rPr>
          <w:szCs w:val="24"/>
        </w:rPr>
        <w:t xml:space="preserve">, </w:t>
      </w:r>
      <w:hyperlink r:id="rId46" w:history="1">
        <w:r w:rsidRPr="00A27BAD">
          <w:rPr>
            <w:rStyle w:val="Hyperlink"/>
            <w:szCs w:val="24"/>
          </w:rPr>
          <w:t>https://doi.org/10.1038/s44271-025-00381-9</w:t>
        </w:r>
      </w:hyperlink>
      <w:r>
        <w:rPr>
          <w:szCs w:val="24"/>
        </w:rPr>
        <w:t>.</w:t>
      </w:r>
    </w:p>
    <w:p w14:paraId="5C88D818" w14:textId="015A3094" w:rsidR="007D0715" w:rsidRPr="00192176" w:rsidRDefault="007D0715" w:rsidP="007D0715">
      <w:pPr>
        <w:rPr>
          <w:szCs w:val="24"/>
        </w:rPr>
      </w:pPr>
      <w:r w:rsidRPr="00FF161F">
        <w:rPr>
          <w:szCs w:val="24"/>
        </w:rPr>
        <w:t xml:space="preserve">Cologna V, Mede N, Berger S, Besley J, Brick C, Joubert M, et al. (2024) ‘Trust in scientists and their role in society across 67 countries’, </w:t>
      </w:r>
      <w:r w:rsidR="0024365F">
        <w:rPr>
          <w:i/>
          <w:iCs/>
          <w:szCs w:val="24"/>
        </w:rPr>
        <w:t xml:space="preserve">OSF Preprints, </w:t>
      </w:r>
      <w:hyperlink r:id="rId47" w:history="1">
        <w:r w:rsidR="0024365F" w:rsidRPr="002D7FD9">
          <w:rPr>
            <w:rStyle w:val="Hyperlink"/>
            <w:szCs w:val="24"/>
          </w:rPr>
          <w:t>https://doi.org/10.31219/osf.io/6ay7s</w:t>
        </w:r>
      </w:hyperlink>
      <w:r w:rsidRPr="00FF161F">
        <w:rPr>
          <w:szCs w:val="24"/>
        </w:rPr>
        <w:t>.</w:t>
      </w:r>
      <w:r>
        <w:rPr>
          <w:szCs w:val="24"/>
        </w:rPr>
        <w:t xml:space="preserve"> </w:t>
      </w:r>
    </w:p>
    <w:p w14:paraId="08D6E624" w14:textId="4EE1E623" w:rsidR="007D0715" w:rsidRPr="00192176" w:rsidRDefault="007D0715" w:rsidP="007D0715">
      <w:pPr>
        <w:rPr>
          <w:szCs w:val="24"/>
        </w:rPr>
      </w:pPr>
      <w:r w:rsidRPr="00657E8A">
        <w:rPr>
          <w:szCs w:val="24"/>
        </w:rPr>
        <w:t xml:space="preserve">Cook J, Ecker UK, Trecek-King M, Schade G, Jeffers-Tracy K, </w:t>
      </w:r>
      <w:proofErr w:type="spellStart"/>
      <w:r w:rsidRPr="00657E8A">
        <w:rPr>
          <w:szCs w:val="24"/>
        </w:rPr>
        <w:t>Fessmann</w:t>
      </w:r>
      <w:proofErr w:type="spellEnd"/>
      <w:r w:rsidRPr="00657E8A">
        <w:rPr>
          <w:szCs w:val="24"/>
        </w:rPr>
        <w:t xml:space="preserve"> J, </w:t>
      </w:r>
      <w:r w:rsidR="00E70BA0" w:rsidRPr="00657E8A">
        <w:rPr>
          <w:szCs w:val="24"/>
        </w:rPr>
        <w:t>Kim</w:t>
      </w:r>
      <w:r w:rsidR="00657E8A" w:rsidRPr="00657E8A">
        <w:rPr>
          <w:szCs w:val="24"/>
        </w:rPr>
        <w:t xml:space="preserve"> </w:t>
      </w:r>
      <w:r w:rsidR="009E56B1" w:rsidRPr="00657E8A">
        <w:rPr>
          <w:szCs w:val="24"/>
        </w:rPr>
        <w:t xml:space="preserve">SC, Kinkead D, Orr M, </w:t>
      </w:r>
      <w:proofErr w:type="spellStart"/>
      <w:r w:rsidR="009E56B1" w:rsidRPr="00657E8A">
        <w:rPr>
          <w:szCs w:val="24"/>
        </w:rPr>
        <w:t>Vraga</w:t>
      </w:r>
      <w:proofErr w:type="spellEnd"/>
      <w:r w:rsidR="009E56B1" w:rsidRPr="00657E8A">
        <w:rPr>
          <w:szCs w:val="24"/>
        </w:rPr>
        <w:t xml:space="preserve"> E, Roberts K and McDowell J</w:t>
      </w:r>
      <w:r w:rsidRPr="00657E8A">
        <w:rPr>
          <w:szCs w:val="24"/>
        </w:rPr>
        <w:t xml:space="preserve"> (2023) ‘The cranky uncle game: combining humour and gamification to build student resilience against climate misinformation’, </w:t>
      </w:r>
      <w:r w:rsidRPr="00657E8A">
        <w:rPr>
          <w:i/>
          <w:iCs/>
          <w:szCs w:val="24"/>
        </w:rPr>
        <w:t>Environmental Education Research</w:t>
      </w:r>
      <w:r w:rsidRPr="00657E8A">
        <w:rPr>
          <w:szCs w:val="24"/>
        </w:rPr>
        <w:t xml:space="preserve">, 29(4): 607–623, </w:t>
      </w:r>
      <w:hyperlink r:id="rId48" w:history="1">
        <w:r w:rsidRPr="00657E8A">
          <w:rPr>
            <w:rStyle w:val="Hyperlink"/>
            <w:szCs w:val="24"/>
          </w:rPr>
          <w:t>https://doi.org/10.1080/13504622.2022.2085671</w:t>
        </w:r>
      </w:hyperlink>
      <w:r w:rsidRPr="00657E8A">
        <w:rPr>
          <w:szCs w:val="24"/>
        </w:rPr>
        <w:t>.</w:t>
      </w:r>
      <w:r>
        <w:rPr>
          <w:szCs w:val="24"/>
        </w:rPr>
        <w:t xml:space="preserve"> </w:t>
      </w:r>
    </w:p>
    <w:p w14:paraId="3747A941" w14:textId="48CEE01F" w:rsidR="007D0715" w:rsidRPr="00192176" w:rsidRDefault="007D0715" w:rsidP="007D0715">
      <w:pPr>
        <w:rPr>
          <w:szCs w:val="24"/>
        </w:rPr>
      </w:pPr>
      <w:r w:rsidRPr="00A55859">
        <w:rPr>
          <w:szCs w:val="24"/>
        </w:rPr>
        <w:t xml:space="preserve">Cook J, Lepage C, Hopkins KL, Cook W, </w:t>
      </w:r>
      <w:proofErr w:type="spellStart"/>
      <w:r w:rsidRPr="00A55859">
        <w:rPr>
          <w:szCs w:val="24"/>
        </w:rPr>
        <w:t>Kolog</w:t>
      </w:r>
      <w:proofErr w:type="spellEnd"/>
      <w:r w:rsidRPr="00A55859">
        <w:rPr>
          <w:szCs w:val="24"/>
        </w:rPr>
        <w:t xml:space="preserve"> EA, Thomson A, </w:t>
      </w:r>
      <w:r w:rsidR="00826FF6" w:rsidRPr="00A55859">
        <w:rPr>
          <w:szCs w:val="24"/>
        </w:rPr>
        <w:t>Iddrisu I and Burnette S</w:t>
      </w:r>
      <w:r w:rsidRPr="00A55859">
        <w:rPr>
          <w:szCs w:val="24"/>
        </w:rPr>
        <w:t xml:space="preserve"> (2024) ‘Co-designing and pilot testing a digital game to improve vaccine attitudes and misinformation resistance in Ghana’, </w:t>
      </w:r>
      <w:r w:rsidRPr="00A55859">
        <w:rPr>
          <w:i/>
          <w:iCs/>
          <w:szCs w:val="24"/>
        </w:rPr>
        <w:t>Human Vaccines and Immunotherapeutics</w:t>
      </w:r>
      <w:r w:rsidRPr="00A55859">
        <w:rPr>
          <w:szCs w:val="24"/>
        </w:rPr>
        <w:t xml:space="preserve">, 20(1): 2407204, </w:t>
      </w:r>
      <w:hyperlink r:id="rId49" w:history="1">
        <w:r w:rsidRPr="00A55859">
          <w:rPr>
            <w:rStyle w:val="Hyperlink"/>
            <w:szCs w:val="24"/>
          </w:rPr>
          <w:t>https://doi.org/10.1080/21645515.2024.2407204</w:t>
        </w:r>
      </w:hyperlink>
      <w:r w:rsidRPr="00A55859">
        <w:rPr>
          <w:szCs w:val="24"/>
        </w:rPr>
        <w:t>.</w:t>
      </w:r>
      <w:r>
        <w:rPr>
          <w:szCs w:val="24"/>
        </w:rPr>
        <w:t xml:space="preserve"> </w:t>
      </w:r>
    </w:p>
    <w:p w14:paraId="5334E29A" w14:textId="5CD098A4" w:rsidR="007D0715" w:rsidRPr="00192176" w:rsidRDefault="007D0715" w:rsidP="007D0715">
      <w:pPr>
        <w:rPr>
          <w:szCs w:val="24"/>
        </w:rPr>
      </w:pPr>
      <w:r w:rsidRPr="00192176">
        <w:rPr>
          <w:szCs w:val="24"/>
        </w:rPr>
        <w:t>Cook J</w:t>
      </w:r>
      <w:r>
        <w:rPr>
          <w:szCs w:val="24"/>
        </w:rPr>
        <w:t xml:space="preserve"> and</w:t>
      </w:r>
      <w:r w:rsidRPr="00192176">
        <w:rPr>
          <w:szCs w:val="24"/>
        </w:rPr>
        <w:t xml:space="preserve"> Lewandowsky S (2011) </w:t>
      </w:r>
      <w:hyperlink r:id="rId50" w:history="1">
        <w:r w:rsidRPr="00192176">
          <w:rPr>
            <w:rStyle w:val="Hyperlink"/>
            <w:i/>
            <w:iCs/>
            <w:szCs w:val="24"/>
          </w:rPr>
          <w:t>The debunking handbook</w:t>
        </w:r>
      </w:hyperlink>
      <w:r>
        <w:rPr>
          <w:szCs w:val="24"/>
        </w:rPr>
        <w:t>.</w:t>
      </w:r>
    </w:p>
    <w:p w14:paraId="2EE60C6E" w14:textId="0FAA13A3" w:rsidR="007D0715" w:rsidRPr="00192176" w:rsidRDefault="007D0715" w:rsidP="007D0715">
      <w:pPr>
        <w:rPr>
          <w:szCs w:val="24"/>
        </w:rPr>
      </w:pPr>
      <w:r w:rsidRPr="00192176">
        <w:rPr>
          <w:szCs w:val="24"/>
        </w:rPr>
        <w:t>Cook J, Lewandowsky S</w:t>
      </w:r>
      <w:r w:rsidR="00C83393">
        <w:rPr>
          <w:szCs w:val="24"/>
        </w:rPr>
        <w:t xml:space="preserve"> and</w:t>
      </w:r>
      <w:r w:rsidRPr="00192176">
        <w:rPr>
          <w:szCs w:val="24"/>
        </w:rPr>
        <w:t xml:space="preserve"> Ecker UKH (2017) ‘Neutralising misinformation through inoculation: exposing misleading argumentation techniques reduces their influence’, </w:t>
      </w:r>
      <w:proofErr w:type="spellStart"/>
      <w:r w:rsidRPr="00192176">
        <w:rPr>
          <w:i/>
          <w:iCs/>
          <w:szCs w:val="24"/>
        </w:rPr>
        <w:t>PLoS</w:t>
      </w:r>
      <w:proofErr w:type="spellEnd"/>
      <w:r w:rsidRPr="00192176">
        <w:rPr>
          <w:i/>
          <w:iCs/>
          <w:szCs w:val="24"/>
        </w:rPr>
        <w:t xml:space="preserve"> ONE</w:t>
      </w:r>
      <w:r w:rsidRPr="00192176">
        <w:rPr>
          <w:szCs w:val="24"/>
        </w:rPr>
        <w:t xml:space="preserve">, 12(5): e0175799, </w:t>
      </w:r>
      <w:hyperlink r:id="rId51" w:history="1">
        <w:r w:rsidRPr="00192176">
          <w:rPr>
            <w:rStyle w:val="Hyperlink"/>
            <w:szCs w:val="24"/>
          </w:rPr>
          <w:t>https://doi.org/10.1371/journal.pone.0175799</w:t>
        </w:r>
      </w:hyperlink>
      <w:r w:rsidRPr="00192176">
        <w:rPr>
          <w:szCs w:val="24"/>
        </w:rPr>
        <w:t>.</w:t>
      </w:r>
      <w:r>
        <w:rPr>
          <w:szCs w:val="24"/>
        </w:rPr>
        <w:t xml:space="preserve"> </w:t>
      </w:r>
    </w:p>
    <w:p w14:paraId="4A77B3AC" w14:textId="04839C83" w:rsidR="007D0715" w:rsidRPr="00192176" w:rsidRDefault="007D0715" w:rsidP="007D0715">
      <w:pPr>
        <w:rPr>
          <w:szCs w:val="24"/>
        </w:rPr>
      </w:pPr>
      <w:r w:rsidRPr="00192176">
        <w:rPr>
          <w:szCs w:val="24"/>
        </w:rPr>
        <w:t xml:space="preserve">Corser K, </w:t>
      </w:r>
      <w:proofErr w:type="spellStart"/>
      <w:r w:rsidRPr="00192176">
        <w:rPr>
          <w:szCs w:val="24"/>
        </w:rPr>
        <w:t>Dezuanni</w:t>
      </w:r>
      <w:proofErr w:type="spellEnd"/>
      <w:r w:rsidRPr="00192176">
        <w:rPr>
          <w:szCs w:val="24"/>
        </w:rPr>
        <w:t xml:space="preserve"> M</w:t>
      </w:r>
      <w:r w:rsidR="00C83393">
        <w:rPr>
          <w:szCs w:val="24"/>
        </w:rPr>
        <w:t xml:space="preserve"> and</w:t>
      </w:r>
      <w:r w:rsidRPr="00192176">
        <w:rPr>
          <w:szCs w:val="24"/>
        </w:rPr>
        <w:t xml:space="preserve"> Notley T (2022) ‘How news media literacy is taught in Australian classrooms’, </w:t>
      </w:r>
      <w:r w:rsidRPr="00192176">
        <w:rPr>
          <w:i/>
          <w:iCs/>
          <w:szCs w:val="24"/>
        </w:rPr>
        <w:t>Australian Educational Researcher</w:t>
      </w:r>
      <w:r w:rsidRPr="00192176">
        <w:rPr>
          <w:szCs w:val="24"/>
        </w:rPr>
        <w:t xml:space="preserve">, 49: 761–777, </w:t>
      </w:r>
      <w:hyperlink r:id="rId52" w:history="1">
        <w:r w:rsidRPr="00192176">
          <w:rPr>
            <w:rStyle w:val="Hyperlink"/>
            <w:szCs w:val="24"/>
          </w:rPr>
          <w:t>https://doi.org/10.1007/s13384-021-00457-5</w:t>
        </w:r>
      </w:hyperlink>
      <w:r w:rsidRPr="00192176">
        <w:rPr>
          <w:szCs w:val="24"/>
        </w:rPr>
        <w:t>.</w:t>
      </w:r>
      <w:r>
        <w:rPr>
          <w:szCs w:val="24"/>
        </w:rPr>
        <w:t xml:space="preserve"> </w:t>
      </w:r>
    </w:p>
    <w:p w14:paraId="6D34B3E9" w14:textId="59BA5432" w:rsidR="007D0715" w:rsidRPr="00192176" w:rsidRDefault="007D0715" w:rsidP="007D0715">
      <w:pPr>
        <w:rPr>
          <w:szCs w:val="24"/>
        </w:rPr>
      </w:pPr>
      <w:r w:rsidRPr="00192176">
        <w:rPr>
          <w:szCs w:val="24"/>
        </w:rPr>
        <w:t>Costello TH, Pennycook G</w:t>
      </w:r>
      <w:r w:rsidR="00C83393">
        <w:rPr>
          <w:szCs w:val="24"/>
        </w:rPr>
        <w:t xml:space="preserve"> and</w:t>
      </w:r>
      <w:r w:rsidRPr="00192176">
        <w:rPr>
          <w:szCs w:val="24"/>
        </w:rPr>
        <w:t xml:space="preserve"> Rand DG (2024) ‘Durably reducing conspiracy beliefs through dialogues with AI’, </w:t>
      </w:r>
      <w:r w:rsidRPr="00192176">
        <w:rPr>
          <w:i/>
          <w:iCs/>
          <w:szCs w:val="24"/>
        </w:rPr>
        <w:t>Science</w:t>
      </w:r>
      <w:r w:rsidRPr="00192176">
        <w:rPr>
          <w:szCs w:val="24"/>
        </w:rPr>
        <w:t xml:space="preserve">, 385(6714): eadq1814, </w:t>
      </w:r>
      <w:hyperlink r:id="rId53" w:history="1">
        <w:r w:rsidRPr="00192176">
          <w:rPr>
            <w:rStyle w:val="Hyperlink"/>
            <w:szCs w:val="24"/>
          </w:rPr>
          <w:t>https://doi.org/10.1126/science.adq1814</w:t>
        </w:r>
      </w:hyperlink>
      <w:r w:rsidRPr="00192176">
        <w:rPr>
          <w:szCs w:val="24"/>
        </w:rPr>
        <w:t>.</w:t>
      </w:r>
      <w:r>
        <w:rPr>
          <w:szCs w:val="24"/>
        </w:rPr>
        <w:t xml:space="preserve"> </w:t>
      </w:r>
    </w:p>
    <w:p w14:paraId="19E6D71A" w14:textId="77777777" w:rsidR="007D0715" w:rsidRPr="00192176" w:rsidRDefault="007D0715" w:rsidP="007D0715">
      <w:pPr>
        <w:rPr>
          <w:szCs w:val="24"/>
        </w:rPr>
      </w:pPr>
      <w:proofErr w:type="spellStart"/>
      <w:r w:rsidRPr="00192176">
        <w:rPr>
          <w:szCs w:val="24"/>
        </w:rPr>
        <w:t>Curzer</w:t>
      </w:r>
      <w:proofErr w:type="spellEnd"/>
      <w:r w:rsidRPr="00192176">
        <w:rPr>
          <w:szCs w:val="24"/>
        </w:rPr>
        <w:t xml:space="preserve"> HJ</w:t>
      </w:r>
      <w:r>
        <w:rPr>
          <w:szCs w:val="24"/>
        </w:rPr>
        <w:t xml:space="preserve"> and</w:t>
      </w:r>
      <w:r w:rsidRPr="00192176">
        <w:rPr>
          <w:szCs w:val="24"/>
        </w:rPr>
        <w:t xml:space="preserve"> Gottlieb J (2019) ‘Making the classroom safe for open-mindedness’, </w:t>
      </w:r>
      <w:r w:rsidRPr="00192176">
        <w:rPr>
          <w:i/>
          <w:iCs/>
          <w:szCs w:val="24"/>
        </w:rPr>
        <w:t>Educational Theory</w:t>
      </w:r>
      <w:r w:rsidRPr="00192176">
        <w:rPr>
          <w:szCs w:val="24"/>
        </w:rPr>
        <w:t xml:space="preserve">, 69(4): 383–402, </w:t>
      </w:r>
      <w:hyperlink r:id="rId54" w:history="1">
        <w:r w:rsidRPr="00192176">
          <w:rPr>
            <w:rStyle w:val="Hyperlink"/>
            <w:szCs w:val="24"/>
          </w:rPr>
          <w:t>https://doi.org/10.1111/edth.12376</w:t>
        </w:r>
      </w:hyperlink>
      <w:r w:rsidRPr="00192176">
        <w:rPr>
          <w:szCs w:val="24"/>
        </w:rPr>
        <w:t>.</w:t>
      </w:r>
      <w:r>
        <w:rPr>
          <w:szCs w:val="24"/>
        </w:rPr>
        <w:t xml:space="preserve"> </w:t>
      </w:r>
    </w:p>
    <w:p w14:paraId="47D6B1D3" w14:textId="6BF5CA76" w:rsidR="007D0715" w:rsidRPr="00192176" w:rsidRDefault="007D0715" w:rsidP="007D0715">
      <w:pPr>
        <w:rPr>
          <w:szCs w:val="24"/>
        </w:rPr>
      </w:pPr>
      <w:r w:rsidRPr="00192176">
        <w:rPr>
          <w:szCs w:val="24"/>
        </w:rPr>
        <w:t>DeVerna MR, Yan HY, Yang KC</w:t>
      </w:r>
      <w:r w:rsidR="00C83393">
        <w:rPr>
          <w:szCs w:val="24"/>
        </w:rPr>
        <w:t xml:space="preserve"> and</w:t>
      </w:r>
      <w:r w:rsidRPr="00192176">
        <w:rPr>
          <w:szCs w:val="24"/>
        </w:rPr>
        <w:t xml:space="preserve"> Menczer F (2024) ‘Fact-checking information from large language models can decrease headline discernment’, </w:t>
      </w:r>
      <w:r w:rsidRPr="00192176">
        <w:rPr>
          <w:i/>
          <w:iCs/>
          <w:szCs w:val="24"/>
        </w:rPr>
        <w:t>Proceedings of the National Academy of Sciences</w:t>
      </w:r>
      <w:r w:rsidRPr="00192176">
        <w:rPr>
          <w:szCs w:val="24"/>
        </w:rPr>
        <w:t>, 121(50): e2322823121</w:t>
      </w:r>
      <w:r w:rsidR="00916336">
        <w:rPr>
          <w:szCs w:val="24"/>
        </w:rPr>
        <w:t xml:space="preserve">, </w:t>
      </w:r>
      <w:hyperlink r:id="rId55" w:history="1">
        <w:r w:rsidR="00916336" w:rsidRPr="002D7FD9">
          <w:rPr>
            <w:rStyle w:val="Hyperlink"/>
            <w:szCs w:val="24"/>
          </w:rPr>
          <w:t>https://doi.org/10.1073/pnas.2322823121</w:t>
        </w:r>
      </w:hyperlink>
      <w:r w:rsidR="00916336">
        <w:rPr>
          <w:szCs w:val="24"/>
        </w:rPr>
        <w:t xml:space="preserve">. </w:t>
      </w:r>
    </w:p>
    <w:p w14:paraId="1270BA08" w14:textId="58A03414" w:rsidR="007D0715" w:rsidRPr="00192176" w:rsidRDefault="007D0715" w:rsidP="007D0715">
      <w:pPr>
        <w:rPr>
          <w:szCs w:val="24"/>
        </w:rPr>
      </w:pPr>
      <w:proofErr w:type="spellStart"/>
      <w:r w:rsidRPr="00192176">
        <w:rPr>
          <w:szCs w:val="24"/>
        </w:rPr>
        <w:t>Dezuanni</w:t>
      </w:r>
      <w:proofErr w:type="spellEnd"/>
      <w:r w:rsidRPr="00192176">
        <w:rPr>
          <w:szCs w:val="24"/>
        </w:rPr>
        <w:t xml:space="preserve"> M, Notley T</w:t>
      </w:r>
      <w:r w:rsidR="00C83393">
        <w:rPr>
          <w:szCs w:val="24"/>
        </w:rPr>
        <w:t xml:space="preserve"> and</w:t>
      </w:r>
      <w:r w:rsidRPr="00192176">
        <w:rPr>
          <w:szCs w:val="24"/>
        </w:rPr>
        <w:t xml:space="preserve"> Di Martino L (2021) ‘</w:t>
      </w:r>
      <w:hyperlink r:id="rId56" w:history="1">
        <w:r w:rsidRPr="00192176">
          <w:rPr>
            <w:rStyle w:val="Hyperlink"/>
            <w:szCs w:val="24"/>
          </w:rPr>
          <w:t>Towards a national strategy for media literacy: national consultation report</w:t>
        </w:r>
      </w:hyperlink>
      <w:r w:rsidRPr="00192176">
        <w:rPr>
          <w:szCs w:val="24"/>
        </w:rPr>
        <w:t xml:space="preserve">’, </w:t>
      </w:r>
      <w:r>
        <w:rPr>
          <w:szCs w:val="24"/>
        </w:rPr>
        <w:t>Australian Media Literacy Alliance.</w:t>
      </w:r>
    </w:p>
    <w:p w14:paraId="099D783C" w14:textId="75BC1DDF" w:rsidR="007D0715" w:rsidRPr="00192176" w:rsidRDefault="007D0715" w:rsidP="007D0715">
      <w:pPr>
        <w:rPr>
          <w:szCs w:val="24"/>
        </w:rPr>
      </w:pPr>
      <w:r w:rsidRPr="00192176">
        <w:rPr>
          <w:szCs w:val="24"/>
        </w:rPr>
        <w:t>Ecker UK</w:t>
      </w:r>
      <w:r w:rsidR="00C83393">
        <w:rPr>
          <w:szCs w:val="24"/>
        </w:rPr>
        <w:t xml:space="preserve"> and</w:t>
      </w:r>
      <w:r w:rsidRPr="00192176">
        <w:rPr>
          <w:szCs w:val="24"/>
        </w:rPr>
        <w:t xml:space="preserve"> Antonio LM (2021) ‘Can you believe it? An investigation into the impact of retraction source credibility on the continued influence effect’, </w:t>
      </w:r>
      <w:r w:rsidRPr="00192176">
        <w:rPr>
          <w:i/>
          <w:iCs/>
          <w:szCs w:val="24"/>
        </w:rPr>
        <w:t>Memory and Cognition</w:t>
      </w:r>
      <w:r w:rsidRPr="00192176">
        <w:rPr>
          <w:szCs w:val="24"/>
        </w:rPr>
        <w:t xml:space="preserve">, 49: 631–644, </w:t>
      </w:r>
      <w:hyperlink r:id="rId57" w:history="1">
        <w:r w:rsidRPr="00192176">
          <w:rPr>
            <w:rStyle w:val="Hyperlink"/>
            <w:szCs w:val="24"/>
          </w:rPr>
          <w:t>https://doi.org/10.3758/s13421-020-01129-y</w:t>
        </w:r>
      </w:hyperlink>
      <w:r w:rsidRPr="00192176">
        <w:rPr>
          <w:szCs w:val="24"/>
        </w:rPr>
        <w:t>.</w:t>
      </w:r>
      <w:r>
        <w:rPr>
          <w:szCs w:val="24"/>
        </w:rPr>
        <w:t xml:space="preserve"> </w:t>
      </w:r>
    </w:p>
    <w:p w14:paraId="791A5987" w14:textId="4FAB64DF" w:rsidR="007D0715" w:rsidRPr="00192176" w:rsidRDefault="007D0715" w:rsidP="007D0715">
      <w:pPr>
        <w:rPr>
          <w:szCs w:val="24"/>
        </w:rPr>
      </w:pPr>
      <w:r w:rsidRPr="00192176">
        <w:rPr>
          <w:szCs w:val="24"/>
        </w:rPr>
        <w:t>Ecker UKH, Lewandowsky S, Chang EP</w:t>
      </w:r>
      <w:r w:rsidR="00C83393">
        <w:rPr>
          <w:szCs w:val="24"/>
        </w:rPr>
        <w:t xml:space="preserve"> and</w:t>
      </w:r>
      <w:r w:rsidRPr="00192176">
        <w:rPr>
          <w:szCs w:val="24"/>
        </w:rPr>
        <w:t xml:space="preserve"> Pillai R (2014) ‘The effects of subtle misinformation in news headlines’, </w:t>
      </w:r>
      <w:r w:rsidRPr="00192176">
        <w:rPr>
          <w:i/>
          <w:iCs/>
          <w:szCs w:val="24"/>
        </w:rPr>
        <w:t>Journal of Experimental Psychology: Applied</w:t>
      </w:r>
      <w:r w:rsidRPr="00192176">
        <w:rPr>
          <w:szCs w:val="24"/>
        </w:rPr>
        <w:t xml:space="preserve">, 20(4): 323–335, </w:t>
      </w:r>
      <w:hyperlink r:id="rId58" w:history="1">
        <w:r w:rsidRPr="00192176">
          <w:rPr>
            <w:rStyle w:val="Hyperlink"/>
            <w:szCs w:val="24"/>
          </w:rPr>
          <w:t>https://doi.org/10.1037/xap0000028</w:t>
        </w:r>
      </w:hyperlink>
      <w:r w:rsidRPr="00192176">
        <w:rPr>
          <w:szCs w:val="24"/>
        </w:rPr>
        <w:t>.</w:t>
      </w:r>
      <w:r>
        <w:rPr>
          <w:szCs w:val="24"/>
        </w:rPr>
        <w:t xml:space="preserve"> </w:t>
      </w:r>
    </w:p>
    <w:p w14:paraId="02E9980B" w14:textId="5DA66DAD" w:rsidR="007D0715" w:rsidRPr="00192176" w:rsidRDefault="007D0715" w:rsidP="007D0715">
      <w:pPr>
        <w:rPr>
          <w:szCs w:val="24"/>
        </w:rPr>
      </w:pPr>
      <w:r w:rsidRPr="00631A29">
        <w:rPr>
          <w:szCs w:val="24"/>
        </w:rPr>
        <w:t xml:space="preserve">Ecker UKH, Lewandowsky S, Cook J, Schmid P, Fazio LK, Brashier N, </w:t>
      </w:r>
      <w:proofErr w:type="spellStart"/>
      <w:r w:rsidR="00527679" w:rsidRPr="00631A29">
        <w:rPr>
          <w:szCs w:val="24"/>
        </w:rPr>
        <w:t>Kendeou</w:t>
      </w:r>
      <w:proofErr w:type="spellEnd"/>
      <w:r w:rsidR="00527679" w:rsidRPr="00631A29">
        <w:rPr>
          <w:szCs w:val="24"/>
        </w:rPr>
        <w:t xml:space="preserve"> P, </w:t>
      </w:r>
      <w:proofErr w:type="spellStart"/>
      <w:r w:rsidR="00527679" w:rsidRPr="00631A29">
        <w:rPr>
          <w:szCs w:val="24"/>
        </w:rPr>
        <w:t>Vraga</w:t>
      </w:r>
      <w:proofErr w:type="spellEnd"/>
      <w:r w:rsidR="00527679" w:rsidRPr="00631A29">
        <w:rPr>
          <w:szCs w:val="24"/>
        </w:rPr>
        <w:t xml:space="preserve"> EK, Amazeen MA</w:t>
      </w:r>
      <w:r w:rsidRPr="00631A29">
        <w:rPr>
          <w:szCs w:val="24"/>
        </w:rPr>
        <w:t xml:space="preserve"> (2022) ‘The psychological drivers of misinformation belief and its resistance to correction’, </w:t>
      </w:r>
      <w:r w:rsidRPr="00631A29">
        <w:rPr>
          <w:i/>
          <w:iCs/>
          <w:szCs w:val="24"/>
        </w:rPr>
        <w:t>Nature Reviews Psychology</w:t>
      </w:r>
      <w:r w:rsidRPr="00631A29">
        <w:rPr>
          <w:szCs w:val="24"/>
        </w:rPr>
        <w:t xml:space="preserve">, 1: 13–29, </w:t>
      </w:r>
      <w:hyperlink r:id="rId59" w:history="1">
        <w:r w:rsidRPr="00631A29">
          <w:rPr>
            <w:rStyle w:val="Hyperlink"/>
            <w:szCs w:val="24"/>
          </w:rPr>
          <w:t>https://doi.org/10.1038/s44159-021-00006-y</w:t>
        </w:r>
      </w:hyperlink>
      <w:r w:rsidRPr="00631A29">
        <w:rPr>
          <w:szCs w:val="24"/>
        </w:rPr>
        <w:t>.</w:t>
      </w:r>
      <w:r>
        <w:rPr>
          <w:szCs w:val="24"/>
        </w:rPr>
        <w:t xml:space="preserve"> </w:t>
      </w:r>
    </w:p>
    <w:p w14:paraId="567A852F" w14:textId="5F7F86F0" w:rsidR="007D0715" w:rsidRPr="00192176" w:rsidRDefault="007D0715" w:rsidP="007D0715">
      <w:pPr>
        <w:rPr>
          <w:szCs w:val="24"/>
        </w:rPr>
      </w:pPr>
      <w:r w:rsidRPr="00192176">
        <w:rPr>
          <w:szCs w:val="24"/>
        </w:rPr>
        <w:t xml:space="preserve">Ecker UK, </w:t>
      </w:r>
      <w:proofErr w:type="spellStart"/>
      <w:r w:rsidRPr="00192176">
        <w:rPr>
          <w:szCs w:val="24"/>
        </w:rPr>
        <w:t>Prike</w:t>
      </w:r>
      <w:proofErr w:type="spellEnd"/>
      <w:r w:rsidRPr="00192176">
        <w:rPr>
          <w:szCs w:val="24"/>
        </w:rPr>
        <w:t xml:space="preserve"> T, Paver AB, Scott RJ</w:t>
      </w:r>
      <w:r w:rsidR="00AB1139">
        <w:rPr>
          <w:szCs w:val="24"/>
        </w:rPr>
        <w:t xml:space="preserve"> and</w:t>
      </w:r>
      <w:r w:rsidRPr="00192176">
        <w:rPr>
          <w:szCs w:val="24"/>
        </w:rPr>
        <w:t xml:space="preserve"> Swire-Thompson B (2024) ‘Don’t believe them! reducing misinformation influence through source discreditation’, </w:t>
      </w:r>
      <w:r w:rsidRPr="00192176">
        <w:rPr>
          <w:i/>
          <w:iCs/>
          <w:szCs w:val="24"/>
        </w:rPr>
        <w:t>Cognitive Research: Principles and Implications</w:t>
      </w:r>
      <w:r w:rsidRPr="00192176">
        <w:rPr>
          <w:szCs w:val="24"/>
        </w:rPr>
        <w:t xml:space="preserve">, 9: 52, </w:t>
      </w:r>
      <w:hyperlink r:id="rId60" w:history="1">
        <w:r w:rsidRPr="00192176">
          <w:rPr>
            <w:rStyle w:val="Hyperlink"/>
            <w:szCs w:val="24"/>
          </w:rPr>
          <w:t>https://doi.org/10.1186/s41235-024-00581-7</w:t>
        </w:r>
      </w:hyperlink>
      <w:r w:rsidRPr="00192176">
        <w:rPr>
          <w:szCs w:val="24"/>
        </w:rPr>
        <w:t>.</w:t>
      </w:r>
      <w:r>
        <w:rPr>
          <w:szCs w:val="24"/>
        </w:rPr>
        <w:t xml:space="preserve"> </w:t>
      </w:r>
    </w:p>
    <w:p w14:paraId="355435D7" w14:textId="59B6839E" w:rsidR="007D0715" w:rsidRPr="00192176" w:rsidRDefault="007D0715" w:rsidP="007D0715">
      <w:pPr>
        <w:rPr>
          <w:szCs w:val="24"/>
        </w:rPr>
      </w:pPr>
      <w:r w:rsidRPr="00192176">
        <w:rPr>
          <w:szCs w:val="24"/>
        </w:rPr>
        <w:t>Ecker UK, Sze BK</w:t>
      </w:r>
      <w:r w:rsidR="00AB1139">
        <w:rPr>
          <w:szCs w:val="24"/>
        </w:rPr>
        <w:t xml:space="preserve"> and</w:t>
      </w:r>
      <w:r w:rsidRPr="00192176">
        <w:rPr>
          <w:szCs w:val="24"/>
        </w:rPr>
        <w:t xml:space="preserve"> Andreotta M (2021) ‘Corrections of political misinformation: no evidence for an effect of partisan worldview in a US convenience sample’, </w:t>
      </w:r>
      <w:r w:rsidRPr="00192176">
        <w:rPr>
          <w:i/>
          <w:iCs/>
          <w:szCs w:val="24"/>
        </w:rPr>
        <w:t>Philosophical Transactions of the Royal Society B</w:t>
      </w:r>
      <w:r w:rsidRPr="00192176">
        <w:rPr>
          <w:szCs w:val="24"/>
        </w:rPr>
        <w:t xml:space="preserve">, 376(1822): 20200145, </w:t>
      </w:r>
      <w:hyperlink r:id="rId61" w:history="1">
        <w:r w:rsidRPr="00192176">
          <w:rPr>
            <w:rStyle w:val="Hyperlink"/>
            <w:szCs w:val="24"/>
          </w:rPr>
          <w:t>https://doi.org/10.1098/rstb.2020.0145</w:t>
        </w:r>
      </w:hyperlink>
      <w:r w:rsidRPr="00192176">
        <w:rPr>
          <w:szCs w:val="24"/>
        </w:rPr>
        <w:t>.</w:t>
      </w:r>
      <w:r>
        <w:rPr>
          <w:szCs w:val="24"/>
        </w:rPr>
        <w:t xml:space="preserve"> </w:t>
      </w:r>
    </w:p>
    <w:p w14:paraId="7AA25ACF" w14:textId="4FC4D7B1" w:rsidR="007D0715" w:rsidRPr="00192176" w:rsidRDefault="007D0715" w:rsidP="007D0715">
      <w:pPr>
        <w:rPr>
          <w:szCs w:val="24"/>
        </w:rPr>
      </w:pPr>
      <w:r w:rsidRPr="00192176">
        <w:rPr>
          <w:szCs w:val="24"/>
        </w:rPr>
        <w:t xml:space="preserve">Ecker UKH, Tay LQ, </w:t>
      </w:r>
      <w:proofErr w:type="spellStart"/>
      <w:r w:rsidRPr="00192176">
        <w:rPr>
          <w:szCs w:val="24"/>
        </w:rPr>
        <w:t>Roozenbeek</w:t>
      </w:r>
      <w:proofErr w:type="spellEnd"/>
      <w:r w:rsidRPr="00192176">
        <w:rPr>
          <w:szCs w:val="24"/>
        </w:rPr>
        <w:t xml:space="preserve"> J, van der Linden S, Cook J, Oreskes N</w:t>
      </w:r>
      <w:r w:rsidR="00AB1139">
        <w:rPr>
          <w:szCs w:val="24"/>
        </w:rPr>
        <w:t xml:space="preserve"> and</w:t>
      </w:r>
      <w:r w:rsidRPr="00192176">
        <w:rPr>
          <w:szCs w:val="24"/>
        </w:rPr>
        <w:t xml:space="preserve"> Lewandowsky S (2025) ‘Why misinformation must not be ignored’, </w:t>
      </w:r>
      <w:r w:rsidRPr="00192176">
        <w:rPr>
          <w:i/>
          <w:iCs/>
          <w:szCs w:val="24"/>
        </w:rPr>
        <w:t>American Psychologist</w:t>
      </w:r>
      <w:r w:rsidRPr="00192176">
        <w:rPr>
          <w:szCs w:val="24"/>
        </w:rPr>
        <w:t xml:space="preserve">, 80(6): 867–878, </w:t>
      </w:r>
      <w:hyperlink r:id="rId62" w:history="1">
        <w:r w:rsidRPr="00192176">
          <w:rPr>
            <w:rStyle w:val="Hyperlink"/>
            <w:szCs w:val="24"/>
          </w:rPr>
          <w:t>https://doi.org/10.1037/amp0001448</w:t>
        </w:r>
      </w:hyperlink>
      <w:r w:rsidRPr="00192176">
        <w:rPr>
          <w:szCs w:val="24"/>
        </w:rPr>
        <w:t>.</w:t>
      </w:r>
      <w:r>
        <w:rPr>
          <w:szCs w:val="24"/>
        </w:rPr>
        <w:t xml:space="preserve"> </w:t>
      </w:r>
    </w:p>
    <w:p w14:paraId="4182B202" w14:textId="31128148" w:rsidR="007D0715" w:rsidRPr="00192176" w:rsidRDefault="007D0715" w:rsidP="007D0715">
      <w:pPr>
        <w:rPr>
          <w:szCs w:val="24"/>
        </w:rPr>
      </w:pPr>
      <w:r w:rsidRPr="00192176">
        <w:rPr>
          <w:szCs w:val="24"/>
        </w:rPr>
        <w:t xml:space="preserve">Edwards L, </w:t>
      </w:r>
      <w:proofErr w:type="spellStart"/>
      <w:r w:rsidRPr="00192176">
        <w:rPr>
          <w:szCs w:val="24"/>
        </w:rPr>
        <w:t>Stoilova</w:t>
      </w:r>
      <w:proofErr w:type="spellEnd"/>
      <w:r w:rsidRPr="00192176">
        <w:rPr>
          <w:szCs w:val="24"/>
        </w:rPr>
        <w:t xml:space="preserve"> M, Anstead N, Fry A, El-Halaby G</w:t>
      </w:r>
      <w:r w:rsidR="00AB1139">
        <w:rPr>
          <w:szCs w:val="24"/>
        </w:rPr>
        <w:t xml:space="preserve"> and</w:t>
      </w:r>
      <w:r w:rsidRPr="00192176">
        <w:rPr>
          <w:szCs w:val="24"/>
        </w:rPr>
        <w:t xml:space="preserve"> Smith M (2021) </w:t>
      </w:r>
      <w:hyperlink r:id="rId63" w:history="1">
        <w:r w:rsidRPr="00192176">
          <w:rPr>
            <w:rStyle w:val="Hyperlink"/>
            <w:i/>
            <w:iCs/>
            <w:szCs w:val="24"/>
          </w:rPr>
          <w:t>Rapid evidence assessment on online misinformation and media literacy: final report for Ofcom</w:t>
        </w:r>
      </w:hyperlink>
      <w:r w:rsidRPr="00192176">
        <w:rPr>
          <w:szCs w:val="24"/>
        </w:rPr>
        <w:t>.</w:t>
      </w:r>
    </w:p>
    <w:p w14:paraId="4DF3C57A" w14:textId="66997AF3" w:rsidR="007D0715" w:rsidRPr="00192176" w:rsidRDefault="007D0715" w:rsidP="007D0715">
      <w:pPr>
        <w:rPr>
          <w:szCs w:val="24"/>
        </w:rPr>
      </w:pPr>
      <w:r w:rsidRPr="00192176">
        <w:rPr>
          <w:szCs w:val="24"/>
        </w:rPr>
        <w:t>Efimova E</w:t>
      </w:r>
      <w:r>
        <w:rPr>
          <w:szCs w:val="24"/>
        </w:rPr>
        <w:t xml:space="preserve"> and</w:t>
      </w:r>
      <w:r w:rsidRPr="00192176">
        <w:rPr>
          <w:szCs w:val="24"/>
        </w:rPr>
        <w:t xml:space="preserve"> Nygren T (2024) ‘AI-optimism, vigilance and biases: support and influence from AI in classroom discussions about social issues’, </w:t>
      </w:r>
      <w:r w:rsidR="00C4032E">
        <w:rPr>
          <w:i/>
          <w:iCs/>
          <w:szCs w:val="24"/>
        </w:rPr>
        <w:t xml:space="preserve">OSF Preprints, </w:t>
      </w:r>
      <w:hyperlink r:id="rId64" w:history="1">
        <w:r w:rsidR="005A6F26" w:rsidRPr="002D7FD9">
          <w:rPr>
            <w:rStyle w:val="Hyperlink"/>
            <w:szCs w:val="24"/>
          </w:rPr>
          <w:t>https://doi.org/10.31219/osf.io/mhpxa</w:t>
        </w:r>
      </w:hyperlink>
      <w:r w:rsidRPr="00192176">
        <w:rPr>
          <w:szCs w:val="24"/>
        </w:rPr>
        <w:t>.</w:t>
      </w:r>
      <w:r>
        <w:rPr>
          <w:szCs w:val="24"/>
        </w:rPr>
        <w:t xml:space="preserve"> </w:t>
      </w:r>
    </w:p>
    <w:p w14:paraId="1BEBAF7E" w14:textId="77777777" w:rsidR="007D0715" w:rsidRPr="00192176" w:rsidRDefault="007D0715" w:rsidP="007D0715">
      <w:pPr>
        <w:rPr>
          <w:szCs w:val="24"/>
        </w:rPr>
      </w:pPr>
      <w:r w:rsidRPr="00192176">
        <w:rPr>
          <w:szCs w:val="24"/>
        </w:rPr>
        <w:t xml:space="preserve">European Commission, Directorate-General for Education, Youth, Sport and Culture (2022) </w:t>
      </w:r>
      <w:r w:rsidRPr="00192176">
        <w:rPr>
          <w:i/>
          <w:iCs/>
          <w:szCs w:val="24"/>
        </w:rPr>
        <w:t>Final report of the Commission expert group on tackling disinformation and promoting digital literacy through education and training</w:t>
      </w:r>
      <w:r w:rsidRPr="00192176">
        <w:rPr>
          <w:szCs w:val="24"/>
        </w:rPr>
        <w:t xml:space="preserve">, Publications Office of the European Union, </w:t>
      </w:r>
      <w:hyperlink r:id="rId65" w:history="1">
        <w:r w:rsidRPr="00192176">
          <w:rPr>
            <w:rStyle w:val="Hyperlink"/>
            <w:szCs w:val="24"/>
          </w:rPr>
          <w:t>https://data.europa.eu/doi/10.2766/283100</w:t>
        </w:r>
      </w:hyperlink>
      <w:r w:rsidRPr="00192176">
        <w:rPr>
          <w:szCs w:val="24"/>
        </w:rPr>
        <w:t>.</w:t>
      </w:r>
      <w:r>
        <w:rPr>
          <w:szCs w:val="24"/>
        </w:rPr>
        <w:t xml:space="preserve"> </w:t>
      </w:r>
    </w:p>
    <w:p w14:paraId="3BB823E7" w14:textId="77777777" w:rsidR="007D0715" w:rsidRPr="00192176" w:rsidRDefault="007D0715" w:rsidP="007D0715">
      <w:pPr>
        <w:rPr>
          <w:szCs w:val="24"/>
        </w:rPr>
      </w:pPr>
      <w:r w:rsidRPr="00192176">
        <w:rPr>
          <w:szCs w:val="24"/>
        </w:rPr>
        <w:t>Fasce A</w:t>
      </w:r>
      <w:r>
        <w:rPr>
          <w:szCs w:val="24"/>
        </w:rPr>
        <w:t xml:space="preserve"> and</w:t>
      </w:r>
      <w:r w:rsidRPr="00192176">
        <w:rPr>
          <w:szCs w:val="24"/>
        </w:rPr>
        <w:t xml:space="preserve"> Picó A (2019) ‘Science as a vaccine: the relation between scientific literacy and unwarranted beliefs’, </w:t>
      </w:r>
      <w:r w:rsidRPr="00192176">
        <w:rPr>
          <w:i/>
          <w:iCs/>
          <w:szCs w:val="24"/>
        </w:rPr>
        <w:t>Science and Education</w:t>
      </w:r>
      <w:r w:rsidRPr="00192176">
        <w:rPr>
          <w:szCs w:val="24"/>
        </w:rPr>
        <w:t xml:space="preserve">, 28: 109–125, </w:t>
      </w:r>
      <w:hyperlink r:id="rId66" w:history="1">
        <w:r w:rsidRPr="00192176">
          <w:rPr>
            <w:rStyle w:val="Hyperlink"/>
            <w:szCs w:val="24"/>
          </w:rPr>
          <w:t>https://doi.org/10.1007/s11191-018-00022-0</w:t>
        </w:r>
      </w:hyperlink>
      <w:r w:rsidRPr="00192176">
        <w:rPr>
          <w:szCs w:val="24"/>
        </w:rPr>
        <w:t>.</w:t>
      </w:r>
      <w:r>
        <w:rPr>
          <w:szCs w:val="24"/>
        </w:rPr>
        <w:t xml:space="preserve"> </w:t>
      </w:r>
    </w:p>
    <w:p w14:paraId="2246386D" w14:textId="77777777" w:rsidR="007D0715" w:rsidRPr="00192176" w:rsidRDefault="007D0715" w:rsidP="007D0715">
      <w:pPr>
        <w:rPr>
          <w:szCs w:val="24"/>
        </w:rPr>
      </w:pPr>
      <w:r w:rsidRPr="00192176">
        <w:rPr>
          <w:szCs w:val="24"/>
        </w:rPr>
        <w:t xml:space="preserve">Fazio LK (2020) ‘Pausing to consider why a headline is true or false can help reduce the sharing of false news’, </w:t>
      </w:r>
      <w:r w:rsidRPr="00192176">
        <w:rPr>
          <w:i/>
          <w:iCs/>
          <w:szCs w:val="24"/>
        </w:rPr>
        <w:t>Harvard Kennedy School Misinformation Review</w:t>
      </w:r>
      <w:r w:rsidRPr="00192176">
        <w:rPr>
          <w:szCs w:val="24"/>
        </w:rPr>
        <w:t xml:space="preserve">, </w:t>
      </w:r>
      <w:r>
        <w:rPr>
          <w:szCs w:val="24"/>
        </w:rPr>
        <w:t xml:space="preserve">1(2), </w:t>
      </w:r>
      <w:hyperlink r:id="rId67" w:history="1">
        <w:r w:rsidRPr="00192176">
          <w:rPr>
            <w:rStyle w:val="Hyperlink"/>
            <w:szCs w:val="24"/>
          </w:rPr>
          <w:t>https://doi.org/10.37016/mr-2020-009</w:t>
        </w:r>
      </w:hyperlink>
      <w:r w:rsidRPr="00192176">
        <w:rPr>
          <w:szCs w:val="24"/>
        </w:rPr>
        <w:t>.</w:t>
      </w:r>
      <w:r>
        <w:rPr>
          <w:szCs w:val="24"/>
        </w:rPr>
        <w:t xml:space="preserve"> </w:t>
      </w:r>
    </w:p>
    <w:p w14:paraId="7AEF6976" w14:textId="16093BDA" w:rsidR="007D0715" w:rsidRPr="00192176" w:rsidRDefault="007D0715" w:rsidP="007D0715">
      <w:pPr>
        <w:rPr>
          <w:szCs w:val="24"/>
        </w:rPr>
      </w:pPr>
      <w:r w:rsidRPr="00B06F96">
        <w:rPr>
          <w:szCs w:val="24"/>
        </w:rPr>
        <w:t xml:space="preserve">Fazio L, Rand DG, Lewandowsky S, </w:t>
      </w:r>
      <w:proofErr w:type="spellStart"/>
      <w:r w:rsidRPr="00B06F96">
        <w:rPr>
          <w:szCs w:val="24"/>
        </w:rPr>
        <w:t>Susmann</w:t>
      </w:r>
      <w:proofErr w:type="spellEnd"/>
      <w:r w:rsidRPr="00B06F96">
        <w:rPr>
          <w:szCs w:val="24"/>
        </w:rPr>
        <w:t xml:space="preserve"> M, Berinsky AJ, Guess AM, </w:t>
      </w:r>
      <w:proofErr w:type="spellStart"/>
      <w:r w:rsidR="00C608FB" w:rsidRPr="00B06F96">
        <w:rPr>
          <w:szCs w:val="24"/>
        </w:rPr>
        <w:t>Kendeou</w:t>
      </w:r>
      <w:proofErr w:type="spellEnd"/>
      <w:r w:rsidR="00C608FB" w:rsidRPr="00B06F96">
        <w:rPr>
          <w:szCs w:val="24"/>
        </w:rPr>
        <w:t xml:space="preserve"> P, Lyons B, Miller J, Newman E, </w:t>
      </w:r>
      <w:proofErr w:type="spellStart"/>
      <w:r w:rsidR="00C608FB" w:rsidRPr="00B06F96">
        <w:rPr>
          <w:szCs w:val="24"/>
        </w:rPr>
        <w:t>Pennnycook</w:t>
      </w:r>
      <w:proofErr w:type="spellEnd"/>
      <w:r w:rsidR="00C608FB" w:rsidRPr="00B06F96">
        <w:rPr>
          <w:szCs w:val="24"/>
        </w:rPr>
        <w:t xml:space="preserve"> G, Swire-Thompson B</w:t>
      </w:r>
      <w:r w:rsidRPr="00B06F96">
        <w:rPr>
          <w:szCs w:val="24"/>
        </w:rPr>
        <w:t xml:space="preserve"> (2024) ‘Combating misinformation: a </w:t>
      </w:r>
      <w:proofErr w:type="spellStart"/>
      <w:r w:rsidRPr="00B06F96">
        <w:rPr>
          <w:szCs w:val="24"/>
        </w:rPr>
        <w:t>megastudy</w:t>
      </w:r>
      <w:proofErr w:type="spellEnd"/>
      <w:r w:rsidRPr="00B06F96">
        <w:rPr>
          <w:szCs w:val="24"/>
        </w:rPr>
        <w:t xml:space="preserve"> of nine interventions designed to reduce the sharing of and belief in false and misleading headlines’,</w:t>
      </w:r>
      <w:r w:rsidR="000E0D6B" w:rsidRPr="00B06F96">
        <w:rPr>
          <w:szCs w:val="24"/>
        </w:rPr>
        <w:t xml:space="preserve"> </w:t>
      </w:r>
      <w:proofErr w:type="spellStart"/>
      <w:r w:rsidR="000E0D6B" w:rsidRPr="00B06F96">
        <w:rPr>
          <w:i/>
          <w:iCs/>
          <w:szCs w:val="24"/>
        </w:rPr>
        <w:t>PsyArXiv</w:t>
      </w:r>
      <w:proofErr w:type="spellEnd"/>
      <w:r w:rsidRPr="00B06F96">
        <w:rPr>
          <w:szCs w:val="24"/>
        </w:rPr>
        <w:t xml:space="preserve"> </w:t>
      </w:r>
      <w:hyperlink r:id="rId68" w:history="1">
        <w:r w:rsidRPr="00B06F96">
          <w:rPr>
            <w:rStyle w:val="Hyperlink"/>
            <w:szCs w:val="24"/>
          </w:rPr>
          <w:t>https://doi.org/10.31234/osf.io/uyjha</w:t>
        </w:r>
      </w:hyperlink>
      <w:r w:rsidRPr="00B06F96">
        <w:rPr>
          <w:szCs w:val="24"/>
        </w:rPr>
        <w:t>.</w:t>
      </w:r>
      <w:r>
        <w:rPr>
          <w:szCs w:val="24"/>
        </w:rPr>
        <w:t xml:space="preserve"> </w:t>
      </w:r>
    </w:p>
    <w:p w14:paraId="4DADD917" w14:textId="1AFB1277" w:rsidR="007D0715" w:rsidRPr="00192176" w:rsidRDefault="007D0715" w:rsidP="007D0715">
      <w:pPr>
        <w:rPr>
          <w:szCs w:val="24"/>
        </w:rPr>
      </w:pPr>
      <w:r w:rsidRPr="00192176">
        <w:rPr>
          <w:szCs w:val="24"/>
        </w:rPr>
        <w:t>Foth M, Osman K</w:t>
      </w:r>
      <w:r w:rsidR="00AB1139">
        <w:rPr>
          <w:szCs w:val="24"/>
        </w:rPr>
        <w:t xml:space="preserve"> and</w:t>
      </w:r>
      <w:r w:rsidRPr="00192176">
        <w:rPr>
          <w:szCs w:val="24"/>
        </w:rPr>
        <w:t xml:space="preserve"> Hourigan A (2023) </w:t>
      </w:r>
      <w:r w:rsidRPr="00192176">
        <w:rPr>
          <w:i/>
          <w:iCs/>
          <w:szCs w:val="24"/>
        </w:rPr>
        <w:t>The low-income families digital divide: North Queensland community</w:t>
      </w:r>
      <w:r w:rsidRPr="00192176">
        <w:rPr>
          <w:szCs w:val="24"/>
        </w:rPr>
        <w:t xml:space="preserve">, Digital Media Research Centre, Queensland University of Technology, </w:t>
      </w:r>
      <w:hyperlink r:id="rId69" w:history="1">
        <w:r w:rsidRPr="00192176">
          <w:rPr>
            <w:rStyle w:val="Hyperlink"/>
            <w:szCs w:val="24"/>
          </w:rPr>
          <w:t>https://doi.org/10.25916/faf0-2s66</w:t>
        </w:r>
      </w:hyperlink>
      <w:r w:rsidRPr="00192176">
        <w:rPr>
          <w:szCs w:val="24"/>
        </w:rPr>
        <w:t>.</w:t>
      </w:r>
      <w:r>
        <w:rPr>
          <w:szCs w:val="24"/>
        </w:rPr>
        <w:t xml:space="preserve"> </w:t>
      </w:r>
    </w:p>
    <w:p w14:paraId="216E1FB3" w14:textId="57555504" w:rsidR="007D0715" w:rsidRPr="00192176" w:rsidRDefault="007D0715" w:rsidP="007D0715">
      <w:pPr>
        <w:rPr>
          <w:szCs w:val="24"/>
        </w:rPr>
      </w:pPr>
      <w:r w:rsidRPr="00192176">
        <w:rPr>
          <w:szCs w:val="24"/>
        </w:rPr>
        <w:t>Garry M, Chan WM, Foster J</w:t>
      </w:r>
      <w:r w:rsidR="00AB1139">
        <w:rPr>
          <w:szCs w:val="24"/>
        </w:rPr>
        <w:t xml:space="preserve"> and</w:t>
      </w:r>
      <w:r w:rsidRPr="00192176">
        <w:rPr>
          <w:szCs w:val="24"/>
        </w:rPr>
        <w:t xml:space="preserve"> Henkel LA (2024) ‘Large language models (LLMs) and the institutionalisation of misinformation’, </w:t>
      </w:r>
      <w:r w:rsidRPr="00192176">
        <w:rPr>
          <w:i/>
          <w:iCs/>
          <w:szCs w:val="24"/>
        </w:rPr>
        <w:t>Trends in Cognitive Sciences</w:t>
      </w:r>
      <w:r w:rsidRPr="00192176">
        <w:rPr>
          <w:szCs w:val="24"/>
        </w:rPr>
        <w:t xml:space="preserve">, </w:t>
      </w:r>
      <w:r w:rsidR="0043220B">
        <w:rPr>
          <w:szCs w:val="24"/>
        </w:rPr>
        <w:t xml:space="preserve">28(12): 1078-1088, </w:t>
      </w:r>
      <w:hyperlink r:id="rId70" w:history="1">
        <w:r w:rsidR="00FE2869" w:rsidRPr="002D7FD9">
          <w:rPr>
            <w:rStyle w:val="Hyperlink"/>
            <w:szCs w:val="24"/>
          </w:rPr>
          <w:t>https://doi.org/10.1016/j.tics.2024.08.007</w:t>
        </w:r>
      </w:hyperlink>
      <w:r w:rsidRPr="00192176">
        <w:rPr>
          <w:szCs w:val="24"/>
        </w:rPr>
        <w:t>.</w:t>
      </w:r>
      <w:r>
        <w:rPr>
          <w:szCs w:val="24"/>
        </w:rPr>
        <w:t xml:space="preserve"> </w:t>
      </w:r>
    </w:p>
    <w:p w14:paraId="073068B0" w14:textId="4A517E6A" w:rsidR="00342021" w:rsidRDefault="00342021" w:rsidP="007D0715">
      <w:pPr>
        <w:rPr>
          <w:szCs w:val="24"/>
        </w:rPr>
      </w:pPr>
      <w:r>
        <w:rPr>
          <w:szCs w:val="24"/>
        </w:rPr>
        <w:t xml:space="preserve">Google </w:t>
      </w:r>
      <w:r w:rsidR="00825C26">
        <w:rPr>
          <w:szCs w:val="24"/>
        </w:rPr>
        <w:t xml:space="preserve">(n.d.) </w:t>
      </w:r>
      <w:hyperlink r:id="rId71" w:history="1">
        <w:r w:rsidR="00825C26" w:rsidRPr="00433829">
          <w:rPr>
            <w:rStyle w:val="Hyperlink"/>
            <w:i/>
            <w:iCs/>
            <w:szCs w:val="24"/>
          </w:rPr>
          <w:t xml:space="preserve">Learn to </w:t>
        </w:r>
        <w:r w:rsidR="00947A8C" w:rsidRPr="00433829">
          <w:rPr>
            <w:rStyle w:val="Hyperlink"/>
            <w:i/>
            <w:iCs/>
            <w:szCs w:val="24"/>
          </w:rPr>
          <w:t>spot online misinformation</w:t>
        </w:r>
      </w:hyperlink>
      <w:r w:rsidR="00947A8C">
        <w:rPr>
          <w:szCs w:val="24"/>
        </w:rPr>
        <w:t xml:space="preserve">, </w:t>
      </w:r>
      <w:r w:rsidR="00433829">
        <w:rPr>
          <w:szCs w:val="24"/>
        </w:rPr>
        <w:t>Google</w:t>
      </w:r>
      <w:r w:rsidR="00DC61D2">
        <w:rPr>
          <w:szCs w:val="24"/>
        </w:rPr>
        <w:t xml:space="preserve"> website</w:t>
      </w:r>
      <w:r w:rsidR="00433829">
        <w:rPr>
          <w:szCs w:val="24"/>
        </w:rPr>
        <w:t>.</w:t>
      </w:r>
    </w:p>
    <w:p w14:paraId="18C2CF6D" w14:textId="77777777" w:rsidR="007D0715" w:rsidRPr="00192176" w:rsidRDefault="007D0715" w:rsidP="007D0715">
      <w:pPr>
        <w:rPr>
          <w:szCs w:val="24"/>
        </w:rPr>
      </w:pPr>
      <w:proofErr w:type="spellStart"/>
      <w:r w:rsidRPr="00192176">
        <w:rPr>
          <w:szCs w:val="24"/>
        </w:rPr>
        <w:t>Guath</w:t>
      </w:r>
      <w:proofErr w:type="spellEnd"/>
      <w:r w:rsidRPr="00192176">
        <w:rPr>
          <w:szCs w:val="24"/>
        </w:rPr>
        <w:t xml:space="preserve"> M</w:t>
      </w:r>
      <w:r>
        <w:rPr>
          <w:szCs w:val="24"/>
        </w:rPr>
        <w:t xml:space="preserve"> and</w:t>
      </w:r>
      <w:r w:rsidRPr="00192176">
        <w:rPr>
          <w:szCs w:val="24"/>
        </w:rPr>
        <w:t xml:space="preserve"> Nygren T (2022) ‘Civic online reasoning among adults: an empirical evaluation of a prescriptive theory and its correlates’, </w:t>
      </w:r>
      <w:r w:rsidRPr="00192176">
        <w:rPr>
          <w:i/>
          <w:iCs/>
          <w:szCs w:val="24"/>
        </w:rPr>
        <w:t>Frontiers in Education</w:t>
      </w:r>
      <w:r w:rsidRPr="00192176">
        <w:rPr>
          <w:szCs w:val="24"/>
        </w:rPr>
        <w:t xml:space="preserve">, 7: 721731, </w:t>
      </w:r>
      <w:hyperlink r:id="rId72" w:history="1">
        <w:r w:rsidRPr="00192176">
          <w:rPr>
            <w:rStyle w:val="Hyperlink"/>
            <w:szCs w:val="24"/>
          </w:rPr>
          <w:t>http://doi.org/10.3389/feduc.2022.721731</w:t>
        </w:r>
      </w:hyperlink>
      <w:r w:rsidRPr="00192176">
        <w:rPr>
          <w:szCs w:val="24"/>
        </w:rPr>
        <w:t>.</w:t>
      </w:r>
      <w:r>
        <w:rPr>
          <w:szCs w:val="24"/>
        </w:rPr>
        <w:t xml:space="preserve"> </w:t>
      </w:r>
    </w:p>
    <w:p w14:paraId="049C4153" w14:textId="3F4DDFAD" w:rsidR="007D0715" w:rsidRPr="00192176" w:rsidRDefault="007D0715" w:rsidP="007D0715">
      <w:pPr>
        <w:rPr>
          <w:szCs w:val="24"/>
        </w:rPr>
      </w:pPr>
      <w:r w:rsidRPr="00192176">
        <w:rPr>
          <w:szCs w:val="24"/>
        </w:rPr>
        <w:t>Guess AM, Lerner M, Lyons B, Montgomery JM, Nyhan B, Reifler J</w:t>
      </w:r>
      <w:r w:rsidR="00AB1139">
        <w:rPr>
          <w:szCs w:val="24"/>
        </w:rPr>
        <w:t xml:space="preserve"> and</w:t>
      </w:r>
      <w:r w:rsidRPr="00192176">
        <w:rPr>
          <w:szCs w:val="24"/>
        </w:rPr>
        <w:t xml:space="preserve"> Sircar N (2020) ‘A digital media literacy intervention increases discernment between mainstream and false news in the United States and India’, </w:t>
      </w:r>
      <w:r w:rsidRPr="00192176">
        <w:rPr>
          <w:i/>
          <w:iCs/>
          <w:szCs w:val="24"/>
        </w:rPr>
        <w:t>Proceedings of the National Academy of Sciences</w:t>
      </w:r>
      <w:r w:rsidRPr="00192176">
        <w:rPr>
          <w:szCs w:val="24"/>
        </w:rPr>
        <w:t xml:space="preserve">, 117(27): 15536–15545, </w:t>
      </w:r>
      <w:hyperlink r:id="rId73" w:history="1">
        <w:r w:rsidRPr="00192176">
          <w:rPr>
            <w:rStyle w:val="Hyperlink"/>
            <w:szCs w:val="24"/>
          </w:rPr>
          <w:t>https://doi.org/10.1073/pnas.1920498117</w:t>
        </w:r>
      </w:hyperlink>
      <w:r w:rsidRPr="00192176">
        <w:rPr>
          <w:szCs w:val="24"/>
        </w:rPr>
        <w:t>.</w:t>
      </w:r>
      <w:r>
        <w:rPr>
          <w:szCs w:val="24"/>
        </w:rPr>
        <w:t xml:space="preserve"> </w:t>
      </w:r>
    </w:p>
    <w:p w14:paraId="7982AD85" w14:textId="77777777" w:rsidR="007D0715" w:rsidRPr="00192176" w:rsidRDefault="007D0715" w:rsidP="007D0715">
      <w:pPr>
        <w:rPr>
          <w:szCs w:val="24"/>
        </w:rPr>
      </w:pPr>
      <w:r w:rsidRPr="00192176">
        <w:rPr>
          <w:szCs w:val="24"/>
        </w:rPr>
        <w:t>Haider J</w:t>
      </w:r>
      <w:r>
        <w:rPr>
          <w:szCs w:val="24"/>
        </w:rPr>
        <w:t xml:space="preserve"> and</w:t>
      </w:r>
      <w:r w:rsidRPr="00192176">
        <w:rPr>
          <w:szCs w:val="24"/>
        </w:rPr>
        <w:t xml:space="preserve"> Sundin O (2022) </w:t>
      </w:r>
      <w:r w:rsidRPr="00192176">
        <w:rPr>
          <w:i/>
          <w:iCs/>
          <w:szCs w:val="24"/>
        </w:rPr>
        <w:t>Paradoxes of media and information literacy: the crisis of information</w:t>
      </w:r>
      <w:r w:rsidRPr="00192176">
        <w:rPr>
          <w:szCs w:val="24"/>
        </w:rPr>
        <w:t xml:space="preserve">, Routledge, </w:t>
      </w:r>
      <w:hyperlink r:id="rId74" w:history="1">
        <w:r w:rsidRPr="00192176">
          <w:rPr>
            <w:rStyle w:val="Hyperlink"/>
            <w:szCs w:val="24"/>
          </w:rPr>
          <w:t>https://doi.org/10.4324/9781003163237</w:t>
        </w:r>
      </w:hyperlink>
      <w:r w:rsidRPr="00192176">
        <w:rPr>
          <w:szCs w:val="24"/>
        </w:rPr>
        <w:t>.</w:t>
      </w:r>
      <w:r>
        <w:rPr>
          <w:szCs w:val="24"/>
        </w:rPr>
        <w:t xml:space="preserve"> </w:t>
      </w:r>
    </w:p>
    <w:p w14:paraId="2547B324" w14:textId="49EA1352" w:rsidR="007D0715" w:rsidRPr="00192176" w:rsidRDefault="007D0715" w:rsidP="007D0715">
      <w:pPr>
        <w:rPr>
          <w:szCs w:val="24"/>
        </w:rPr>
      </w:pPr>
      <w:proofErr w:type="spellStart"/>
      <w:r w:rsidRPr="00192176">
        <w:rPr>
          <w:szCs w:val="24"/>
        </w:rPr>
        <w:t>Hameleers</w:t>
      </w:r>
      <w:proofErr w:type="spellEnd"/>
      <w:r w:rsidRPr="00192176">
        <w:rPr>
          <w:szCs w:val="24"/>
        </w:rPr>
        <w:t xml:space="preserve"> M, Brosius A, Marquart F, Goldberg AC, van Elsas E</w:t>
      </w:r>
      <w:r w:rsidR="00AB1139">
        <w:rPr>
          <w:szCs w:val="24"/>
        </w:rPr>
        <w:t xml:space="preserve"> and</w:t>
      </w:r>
      <w:r w:rsidRPr="00192176">
        <w:rPr>
          <w:szCs w:val="24"/>
        </w:rPr>
        <w:t xml:space="preserve"> De Vreese CH (2022) ‘Mistake or manipulation? conceptualising perceived mis- and disinformation among news consumers in 10 European countries’, </w:t>
      </w:r>
      <w:r w:rsidRPr="00192176">
        <w:rPr>
          <w:i/>
          <w:iCs/>
          <w:szCs w:val="24"/>
        </w:rPr>
        <w:t>Communication Research</w:t>
      </w:r>
      <w:r w:rsidRPr="00192176">
        <w:rPr>
          <w:szCs w:val="24"/>
        </w:rPr>
        <w:t xml:space="preserve">, 49(7): 919–941, </w:t>
      </w:r>
      <w:hyperlink r:id="rId75" w:history="1">
        <w:r w:rsidRPr="00192176">
          <w:rPr>
            <w:rStyle w:val="Hyperlink"/>
            <w:szCs w:val="24"/>
          </w:rPr>
          <w:t>https://doi.org/10.1177/0093650221997719</w:t>
        </w:r>
      </w:hyperlink>
      <w:r w:rsidRPr="00192176">
        <w:rPr>
          <w:szCs w:val="24"/>
        </w:rPr>
        <w:t>.</w:t>
      </w:r>
      <w:r>
        <w:rPr>
          <w:szCs w:val="24"/>
        </w:rPr>
        <w:t xml:space="preserve"> </w:t>
      </w:r>
    </w:p>
    <w:p w14:paraId="4AB02E3D" w14:textId="08326DD3" w:rsidR="007D0715" w:rsidRPr="00192176" w:rsidRDefault="007D0715" w:rsidP="007D0715">
      <w:pPr>
        <w:rPr>
          <w:szCs w:val="24"/>
        </w:rPr>
      </w:pPr>
      <w:r w:rsidRPr="00192176">
        <w:rPr>
          <w:szCs w:val="24"/>
        </w:rPr>
        <w:t>Hansson PO, Samuelsson M</w:t>
      </w:r>
      <w:r w:rsidR="00AB1139">
        <w:rPr>
          <w:szCs w:val="24"/>
        </w:rPr>
        <w:t xml:space="preserve"> and</w:t>
      </w:r>
      <w:r w:rsidRPr="00192176">
        <w:rPr>
          <w:szCs w:val="24"/>
        </w:rPr>
        <w:t xml:space="preserve"> </w:t>
      </w:r>
      <w:proofErr w:type="spellStart"/>
      <w:r w:rsidRPr="00192176">
        <w:rPr>
          <w:szCs w:val="24"/>
        </w:rPr>
        <w:t>Höög</w:t>
      </w:r>
      <w:proofErr w:type="spellEnd"/>
      <w:r w:rsidRPr="00192176">
        <w:rPr>
          <w:szCs w:val="24"/>
        </w:rPr>
        <w:t xml:space="preserve"> ML (2023) ‘Teaching avatars on controversial issues: lessons learned’, </w:t>
      </w:r>
      <w:r w:rsidRPr="00192176">
        <w:rPr>
          <w:i/>
          <w:iCs/>
          <w:szCs w:val="24"/>
        </w:rPr>
        <w:t>IAFOR Journal of Education</w:t>
      </w:r>
      <w:r w:rsidRPr="00192176">
        <w:rPr>
          <w:szCs w:val="24"/>
        </w:rPr>
        <w:t>, 11(2)</w:t>
      </w:r>
      <w:r w:rsidR="00FB3DC5">
        <w:rPr>
          <w:szCs w:val="24"/>
        </w:rPr>
        <w:t xml:space="preserve">, </w:t>
      </w:r>
      <w:hyperlink r:id="rId76" w:history="1">
        <w:r w:rsidR="00FB3DC5" w:rsidRPr="002D7FD9">
          <w:rPr>
            <w:rStyle w:val="Hyperlink"/>
            <w:szCs w:val="24"/>
          </w:rPr>
          <w:t>https://doi.org/10.22492/ije.11.2.03</w:t>
        </w:r>
      </w:hyperlink>
      <w:r w:rsidR="00FB3DC5">
        <w:rPr>
          <w:szCs w:val="24"/>
        </w:rPr>
        <w:t xml:space="preserve">. </w:t>
      </w:r>
    </w:p>
    <w:p w14:paraId="63EAC2E8" w14:textId="1D8868B4" w:rsidR="007D0715" w:rsidRPr="00192176" w:rsidRDefault="007D0715" w:rsidP="007D0715">
      <w:pPr>
        <w:rPr>
          <w:szCs w:val="24"/>
        </w:rPr>
      </w:pPr>
      <w:r w:rsidRPr="00192176">
        <w:rPr>
          <w:szCs w:val="24"/>
        </w:rPr>
        <w:t>Hobbs R (2020) ‘Propaganda in an age of algorithmic personali</w:t>
      </w:r>
      <w:r w:rsidR="003624EE">
        <w:rPr>
          <w:szCs w:val="24"/>
        </w:rPr>
        <w:t>z</w:t>
      </w:r>
      <w:r w:rsidRPr="00192176">
        <w:rPr>
          <w:szCs w:val="24"/>
        </w:rPr>
        <w:t xml:space="preserve">ation: expanding literacy research and practice’, </w:t>
      </w:r>
      <w:r w:rsidRPr="00192176">
        <w:rPr>
          <w:i/>
          <w:iCs/>
          <w:szCs w:val="24"/>
        </w:rPr>
        <w:t>Reading Research Quarterly</w:t>
      </w:r>
      <w:r w:rsidRPr="00192176">
        <w:rPr>
          <w:szCs w:val="24"/>
        </w:rPr>
        <w:t>, 55(</w:t>
      </w:r>
      <w:r w:rsidR="003624EE">
        <w:rPr>
          <w:szCs w:val="24"/>
        </w:rPr>
        <w:t>3</w:t>
      </w:r>
      <w:r w:rsidRPr="00192176">
        <w:rPr>
          <w:szCs w:val="24"/>
        </w:rPr>
        <w:t xml:space="preserve">): 521–533, </w:t>
      </w:r>
      <w:hyperlink r:id="rId77" w:history="1">
        <w:r w:rsidRPr="00192176">
          <w:rPr>
            <w:rStyle w:val="Hyperlink"/>
            <w:szCs w:val="24"/>
          </w:rPr>
          <w:t>https://doi.org/10.1002/rrq.301</w:t>
        </w:r>
      </w:hyperlink>
      <w:r w:rsidRPr="00192176">
        <w:rPr>
          <w:szCs w:val="24"/>
        </w:rPr>
        <w:t>.</w:t>
      </w:r>
      <w:r>
        <w:rPr>
          <w:szCs w:val="24"/>
        </w:rPr>
        <w:t xml:space="preserve"> </w:t>
      </w:r>
    </w:p>
    <w:p w14:paraId="40443BF0" w14:textId="3BE7E7B6" w:rsidR="007D0715" w:rsidRPr="00192176" w:rsidRDefault="007D0715" w:rsidP="007D0715">
      <w:pPr>
        <w:rPr>
          <w:szCs w:val="24"/>
        </w:rPr>
      </w:pPr>
      <w:r w:rsidRPr="00192176">
        <w:rPr>
          <w:szCs w:val="24"/>
        </w:rPr>
        <w:t xml:space="preserve">Hobbs R, Donnelly K, </w:t>
      </w:r>
      <w:proofErr w:type="spellStart"/>
      <w:r w:rsidRPr="00192176">
        <w:rPr>
          <w:szCs w:val="24"/>
        </w:rPr>
        <w:t>Friesem</w:t>
      </w:r>
      <w:proofErr w:type="spellEnd"/>
      <w:r w:rsidRPr="00192176">
        <w:rPr>
          <w:szCs w:val="24"/>
        </w:rPr>
        <w:t xml:space="preserve"> J</w:t>
      </w:r>
      <w:r w:rsidR="00AB1139">
        <w:rPr>
          <w:szCs w:val="24"/>
        </w:rPr>
        <w:t xml:space="preserve"> and</w:t>
      </w:r>
      <w:r w:rsidRPr="00192176">
        <w:rPr>
          <w:szCs w:val="24"/>
        </w:rPr>
        <w:t xml:space="preserve"> Moen M (2013) ‘Learning to engage: how positive attitudes about the news, media literacy, and video production contribute to adolescent civic engagement’, </w:t>
      </w:r>
      <w:r w:rsidRPr="00192176">
        <w:rPr>
          <w:i/>
          <w:iCs/>
          <w:szCs w:val="24"/>
        </w:rPr>
        <w:t>Educational Media International</w:t>
      </w:r>
      <w:r w:rsidRPr="00192176">
        <w:rPr>
          <w:szCs w:val="24"/>
        </w:rPr>
        <w:t xml:space="preserve">, 50(4): 231–246, </w:t>
      </w:r>
      <w:hyperlink r:id="rId78" w:history="1">
        <w:r w:rsidRPr="00192176">
          <w:rPr>
            <w:rStyle w:val="Hyperlink"/>
            <w:szCs w:val="24"/>
          </w:rPr>
          <w:t>https://doi.org/10.1080/09523987.2013.862364</w:t>
        </w:r>
      </w:hyperlink>
      <w:r w:rsidRPr="00192176">
        <w:rPr>
          <w:szCs w:val="24"/>
        </w:rPr>
        <w:t>.</w:t>
      </w:r>
      <w:r>
        <w:rPr>
          <w:szCs w:val="24"/>
        </w:rPr>
        <w:t xml:space="preserve"> </w:t>
      </w:r>
    </w:p>
    <w:p w14:paraId="14BC311E" w14:textId="6C649175" w:rsidR="007D0715" w:rsidRPr="00192176" w:rsidRDefault="007D0715" w:rsidP="007D0715">
      <w:pPr>
        <w:rPr>
          <w:szCs w:val="24"/>
        </w:rPr>
      </w:pPr>
      <w:r w:rsidRPr="00192176">
        <w:rPr>
          <w:szCs w:val="24"/>
        </w:rPr>
        <w:t>Hyland-Wood B, Gardner J, Leask J</w:t>
      </w:r>
      <w:r w:rsidR="00AB1139">
        <w:rPr>
          <w:szCs w:val="24"/>
        </w:rPr>
        <w:t xml:space="preserve"> and</w:t>
      </w:r>
      <w:r w:rsidRPr="00192176">
        <w:rPr>
          <w:szCs w:val="24"/>
        </w:rPr>
        <w:t xml:space="preserve"> Ecker UK (2021) ‘Toward effective government communication strategies in the era of COVID-19’, </w:t>
      </w:r>
      <w:r w:rsidRPr="00192176">
        <w:rPr>
          <w:i/>
          <w:iCs/>
          <w:szCs w:val="24"/>
        </w:rPr>
        <w:t>Humanities and Social Sciences Communications</w:t>
      </w:r>
      <w:r w:rsidRPr="00192176">
        <w:rPr>
          <w:szCs w:val="24"/>
        </w:rPr>
        <w:t>, 8</w:t>
      </w:r>
      <w:r w:rsidR="00F336F7">
        <w:rPr>
          <w:szCs w:val="24"/>
        </w:rPr>
        <w:t>: 30</w:t>
      </w:r>
      <w:r w:rsidRPr="00192176">
        <w:rPr>
          <w:szCs w:val="24"/>
        </w:rPr>
        <w:t xml:space="preserve">, </w:t>
      </w:r>
      <w:hyperlink r:id="rId79" w:history="1">
        <w:r w:rsidRPr="00192176">
          <w:rPr>
            <w:rStyle w:val="Hyperlink"/>
            <w:szCs w:val="24"/>
          </w:rPr>
          <w:t>https://doi.org/10.1057/s41599-020-00701-w</w:t>
        </w:r>
      </w:hyperlink>
      <w:r w:rsidRPr="00192176">
        <w:rPr>
          <w:szCs w:val="24"/>
        </w:rPr>
        <w:t>.</w:t>
      </w:r>
      <w:r>
        <w:rPr>
          <w:szCs w:val="24"/>
        </w:rPr>
        <w:t xml:space="preserve"> </w:t>
      </w:r>
    </w:p>
    <w:p w14:paraId="12B517F4" w14:textId="637CCA70" w:rsidR="007D0715" w:rsidRPr="00192176" w:rsidRDefault="007D0715" w:rsidP="007D0715">
      <w:pPr>
        <w:rPr>
          <w:szCs w:val="24"/>
        </w:rPr>
      </w:pPr>
      <w:r w:rsidRPr="00B06F96">
        <w:rPr>
          <w:szCs w:val="24"/>
        </w:rPr>
        <w:t xml:space="preserve">Ivanov B, Miller CH, Compton J, Averbeck JM, Harrison KJ, Sims JD, </w:t>
      </w:r>
      <w:r w:rsidR="00002B9E" w:rsidRPr="00B06F96">
        <w:rPr>
          <w:szCs w:val="24"/>
        </w:rPr>
        <w:t xml:space="preserve">Parker KA, </w:t>
      </w:r>
      <w:r w:rsidR="00305ABD" w:rsidRPr="00B06F96">
        <w:rPr>
          <w:szCs w:val="24"/>
        </w:rPr>
        <w:t>Parker JL</w:t>
      </w:r>
      <w:r w:rsidRPr="00B06F96">
        <w:rPr>
          <w:szCs w:val="24"/>
        </w:rPr>
        <w:t xml:space="preserve"> (2012) ‘Effects of </w:t>
      </w:r>
      <w:proofErr w:type="spellStart"/>
      <w:r w:rsidRPr="00B06F96">
        <w:rPr>
          <w:szCs w:val="24"/>
        </w:rPr>
        <w:t>postinoculation</w:t>
      </w:r>
      <w:proofErr w:type="spellEnd"/>
      <w:r w:rsidRPr="00B06F96">
        <w:rPr>
          <w:szCs w:val="24"/>
        </w:rPr>
        <w:t xml:space="preserve"> talk on resistance to influence’, </w:t>
      </w:r>
      <w:r w:rsidRPr="00B06F96">
        <w:rPr>
          <w:i/>
          <w:iCs/>
          <w:szCs w:val="24"/>
        </w:rPr>
        <w:t>Journal of Communication</w:t>
      </w:r>
      <w:r w:rsidRPr="00B06F96">
        <w:rPr>
          <w:szCs w:val="24"/>
        </w:rPr>
        <w:t xml:space="preserve">, 62(4): 701–718, </w:t>
      </w:r>
      <w:hyperlink r:id="rId80" w:history="1">
        <w:r w:rsidRPr="00B06F96">
          <w:rPr>
            <w:rStyle w:val="Hyperlink"/>
            <w:szCs w:val="24"/>
          </w:rPr>
          <w:t>https://doi.org/10.1111/j.1460-2466.2012.01658.x</w:t>
        </w:r>
      </w:hyperlink>
      <w:r w:rsidRPr="00B06F96">
        <w:rPr>
          <w:szCs w:val="24"/>
        </w:rPr>
        <w:t>.</w:t>
      </w:r>
      <w:r>
        <w:rPr>
          <w:szCs w:val="24"/>
        </w:rPr>
        <w:t xml:space="preserve"> </w:t>
      </w:r>
    </w:p>
    <w:p w14:paraId="4864AD21" w14:textId="77777777" w:rsidR="007D0715" w:rsidRPr="00192176" w:rsidRDefault="007D0715" w:rsidP="007D0715">
      <w:pPr>
        <w:rPr>
          <w:szCs w:val="24"/>
        </w:rPr>
      </w:pPr>
      <w:r w:rsidRPr="00192176">
        <w:rPr>
          <w:szCs w:val="24"/>
        </w:rPr>
        <w:t xml:space="preserve">Joint Standing Committee on Electoral Matters (2025) </w:t>
      </w:r>
      <w:hyperlink r:id="rId81" w:history="1">
        <w:r w:rsidRPr="00192176">
          <w:rPr>
            <w:rStyle w:val="Hyperlink"/>
            <w:i/>
            <w:iCs/>
            <w:szCs w:val="24"/>
          </w:rPr>
          <w:t>From classroom to community: civics education and political participation in Australia</w:t>
        </w:r>
      </w:hyperlink>
      <w:r w:rsidRPr="00192176">
        <w:rPr>
          <w:szCs w:val="24"/>
        </w:rPr>
        <w:t xml:space="preserve">, </w:t>
      </w:r>
      <w:r w:rsidRPr="00A46A90">
        <w:rPr>
          <w:szCs w:val="24"/>
        </w:rPr>
        <w:t>Parliament of Australia.</w:t>
      </w:r>
    </w:p>
    <w:p w14:paraId="59529B63" w14:textId="6497FE12" w:rsidR="007D0715" w:rsidRPr="00192176" w:rsidRDefault="007D0715" w:rsidP="007D0715">
      <w:pPr>
        <w:rPr>
          <w:szCs w:val="24"/>
        </w:rPr>
      </w:pPr>
      <w:r w:rsidRPr="00192176">
        <w:rPr>
          <w:szCs w:val="24"/>
        </w:rPr>
        <w:t>Jones-Jang SM, Mortensen T</w:t>
      </w:r>
      <w:r w:rsidR="00AB1139">
        <w:rPr>
          <w:szCs w:val="24"/>
        </w:rPr>
        <w:t xml:space="preserve"> and</w:t>
      </w:r>
      <w:r w:rsidRPr="00192176">
        <w:rPr>
          <w:szCs w:val="24"/>
        </w:rPr>
        <w:t xml:space="preserve"> Liu J (2021) ‘Does media literacy help identification of fake news? information literacy helps, but other literacies don’t’, </w:t>
      </w:r>
      <w:r w:rsidRPr="00192176">
        <w:rPr>
          <w:i/>
          <w:iCs/>
          <w:szCs w:val="24"/>
        </w:rPr>
        <w:t xml:space="preserve">American </w:t>
      </w:r>
      <w:proofErr w:type="spellStart"/>
      <w:r w:rsidRPr="00192176">
        <w:rPr>
          <w:i/>
          <w:iCs/>
          <w:szCs w:val="24"/>
        </w:rPr>
        <w:t>Behavioral</w:t>
      </w:r>
      <w:proofErr w:type="spellEnd"/>
      <w:r w:rsidRPr="00192176">
        <w:rPr>
          <w:i/>
          <w:iCs/>
          <w:szCs w:val="24"/>
        </w:rPr>
        <w:t xml:space="preserve"> Scientist</w:t>
      </w:r>
      <w:r w:rsidRPr="00192176">
        <w:rPr>
          <w:szCs w:val="24"/>
        </w:rPr>
        <w:t xml:space="preserve">, 65(2): 371–388, </w:t>
      </w:r>
      <w:hyperlink r:id="rId82" w:history="1">
        <w:r w:rsidRPr="00192176">
          <w:rPr>
            <w:rStyle w:val="Hyperlink"/>
            <w:szCs w:val="24"/>
          </w:rPr>
          <w:t>https://doi.org/10.1177/0002764219869406</w:t>
        </w:r>
      </w:hyperlink>
      <w:r w:rsidRPr="00192176">
        <w:rPr>
          <w:szCs w:val="24"/>
        </w:rPr>
        <w:t>.</w:t>
      </w:r>
      <w:r>
        <w:rPr>
          <w:szCs w:val="24"/>
        </w:rPr>
        <w:t xml:space="preserve"> </w:t>
      </w:r>
    </w:p>
    <w:p w14:paraId="511FFAFB" w14:textId="7523055A" w:rsidR="007D0715" w:rsidRPr="00192176" w:rsidRDefault="007D0715" w:rsidP="007D0715">
      <w:pPr>
        <w:rPr>
          <w:szCs w:val="24"/>
        </w:rPr>
      </w:pPr>
      <w:r w:rsidRPr="00192176">
        <w:rPr>
          <w:szCs w:val="24"/>
        </w:rPr>
        <w:t>Kozyreva A, Herzog SM, Lewandowsky S, Hertwig R, Lorenz-Spreen P, Leiser M</w:t>
      </w:r>
      <w:r w:rsidR="00AB1139">
        <w:rPr>
          <w:szCs w:val="24"/>
        </w:rPr>
        <w:t xml:space="preserve"> and</w:t>
      </w:r>
      <w:r w:rsidRPr="00192176">
        <w:rPr>
          <w:szCs w:val="24"/>
        </w:rPr>
        <w:t xml:space="preserve"> Reifler J (2023) ‘Resolving content moderation dilemmas between free speech and harmful misinformation’, </w:t>
      </w:r>
      <w:r w:rsidRPr="00192176">
        <w:rPr>
          <w:i/>
          <w:iCs/>
          <w:szCs w:val="24"/>
        </w:rPr>
        <w:t>Proceedings of the National Academy of Sciences</w:t>
      </w:r>
      <w:r w:rsidRPr="00192176">
        <w:rPr>
          <w:szCs w:val="24"/>
        </w:rPr>
        <w:t xml:space="preserve">, 120(7): e2210666120, </w:t>
      </w:r>
      <w:hyperlink r:id="rId83" w:history="1">
        <w:r w:rsidRPr="00192176">
          <w:rPr>
            <w:rStyle w:val="Hyperlink"/>
            <w:szCs w:val="24"/>
          </w:rPr>
          <w:t>https://doi.org/10.1073/pnas.2210666120</w:t>
        </w:r>
      </w:hyperlink>
      <w:r w:rsidRPr="00192176">
        <w:rPr>
          <w:szCs w:val="24"/>
        </w:rPr>
        <w:t>.</w:t>
      </w:r>
      <w:r>
        <w:rPr>
          <w:szCs w:val="24"/>
        </w:rPr>
        <w:t xml:space="preserve"> </w:t>
      </w:r>
    </w:p>
    <w:p w14:paraId="52EC5D1A" w14:textId="6F1E910B" w:rsidR="007D0715" w:rsidRPr="00192176" w:rsidRDefault="007D0715" w:rsidP="007D0715">
      <w:pPr>
        <w:rPr>
          <w:szCs w:val="24"/>
        </w:rPr>
      </w:pPr>
      <w:r w:rsidRPr="00192176">
        <w:rPr>
          <w:szCs w:val="24"/>
        </w:rPr>
        <w:t>Kozyreva A, Lewandowsky S</w:t>
      </w:r>
      <w:r w:rsidR="00AB1139">
        <w:rPr>
          <w:szCs w:val="24"/>
        </w:rPr>
        <w:t xml:space="preserve"> and</w:t>
      </w:r>
      <w:r w:rsidRPr="00192176">
        <w:rPr>
          <w:szCs w:val="24"/>
        </w:rPr>
        <w:t xml:space="preserve"> Hertwig R (2020) ‘Citizens versus the internet: confronting digital challenges with cognitive tools’, </w:t>
      </w:r>
      <w:r w:rsidRPr="00192176">
        <w:rPr>
          <w:i/>
          <w:iCs/>
          <w:szCs w:val="24"/>
        </w:rPr>
        <w:t>Psychological Science in the Public Interest</w:t>
      </w:r>
      <w:r w:rsidRPr="00192176">
        <w:rPr>
          <w:szCs w:val="24"/>
        </w:rPr>
        <w:t xml:space="preserve">, 21(3): 103–156, </w:t>
      </w:r>
      <w:hyperlink r:id="rId84" w:history="1">
        <w:r w:rsidRPr="00192176">
          <w:rPr>
            <w:rStyle w:val="Hyperlink"/>
            <w:szCs w:val="24"/>
          </w:rPr>
          <w:t>https://doi.org/10.1177/1529100620946707</w:t>
        </w:r>
      </w:hyperlink>
      <w:r w:rsidRPr="00192176">
        <w:rPr>
          <w:szCs w:val="24"/>
        </w:rPr>
        <w:t>.</w:t>
      </w:r>
      <w:r>
        <w:rPr>
          <w:szCs w:val="24"/>
        </w:rPr>
        <w:t xml:space="preserve"> </w:t>
      </w:r>
    </w:p>
    <w:p w14:paraId="50BC9A31" w14:textId="3B499AFF" w:rsidR="007D0715" w:rsidRPr="00192176" w:rsidRDefault="007D0715" w:rsidP="007D0715">
      <w:pPr>
        <w:rPr>
          <w:szCs w:val="24"/>
        </w:rPr>
      </w:pPr>
      <w:r w:rsidRPr="0081089F">
        <w:rPr>
          <w:szCs w:val="24"/>
        </w:rPr>
        <w:t xml:space="preserve">Kozyreva A, Lorenz-Spreen P, Herzog SM, Ecker UKH, Lewandowsky S, Hertwig R, et al. (2024) ‘Toolbox of individual-level interventions against online misinformation’, </w:t>
      </w:r>
      <w:r w:rsidRPr="0081089F">
        <w:rPr>
          <w:i/>
          <w:iCs/>
          <w:szCs w:val="24"/>
        </w:rPr>
        <w:t>Nature Human Behaviour</w:t>
      </w:r>
      <w:r w:rsidRPr="0081089F">
        <w:rPr>
          <w:szCs w:val="24"/>
        </w:rPr>
        <w:t xml:space="preserve">, 8: 1044–1052, </w:t>
      </w:r>
      <w:hyperlink r:id="rId85" w:history="1">
        <w:r w:rsidRPr="0081089F">
          <w:rPr>
            <w:rStyle w:val="Hyperlink"/>
            <w:szCs w:val="24"/>
          </w:rPr>
          <w:t>https://doi.org/10.1038/s41562-024-01881-0</w:t>
        </w:r>
      </w:hyperlink>
      <w:r w:rsidRPr="0081089F">
        <w:rPr>
          <w:szCs w:val="24"/>
        </w:rPr>
        <w:t>.</w:t>
      </w:r>
      <w:r>
        <w:rPr>
          <w:szCs w:val="24"/>
        </w:rPr>
        <w:t xml:space="preserve"> </w:t>
      </w:r>
    </w:p>
    <w:p w14:paraId="6E742B48" w14:textId="458AD791" w:rsidR="007D0715" w:rsidRPr="00192176" w:rsidRDefault="007D0715" w:rsidP="007D0715">
      <w:pPr>
        <w:rPr>
          <w:szCs w:val="24"/>
        </w:rPr>
      </w:pPr>
      <w:r w:rsidRPr="00192176">
        <w:rPr>
          <w:szCs w:val="24"/>
        </w:rPr>
        <w:t>Leder J, Schellinger LV, Maertens R, van der Linden S, Chryst B</w:t>
      </w:r>
      <w:r w:rsidR="00AB1139">
        <w:rPr>
          <w:szCs w:val="24"/>
        </w:rPr>
        <w:t xml:space="preserve"> and</w:t>
      </w:r>
      <w:r w:rsidRPr="00192176">
        <w:rPr>
          <w:szCs w:val="24"/>
        </w:rPr>
        <w:t xml:space="preserve"> </w:t>
      </w:r>
      <w:proofErr w:type="spellStart"/>
      <w:r w:rsidRPr="00192176">
        <w:rPr>
          <w:szCs w:val="24"/>
        </w:rPr>
        <w:t>Roozenbeek</w:t>
      </w:r>
      <w:proofErr w:type="spellEnd"/>
      <w:r w:rsidRPr="00192176">
        <w:rPr>
          <w:szCs w:val="24"/>
        </w:rPr>
        <w:t xml:space="preserve"> J (2024) ‘Feedback exercises boost discernment of misinformation for gamified inoculation interventions’, </w:t>
      </w:r>
      <w:r w:rsidRPr="00192176">
        <w:rPr>
          <w:i/>
          <w:iCs/>
          <w:szCs w:val="24"/>
        </w:rPr>
        <w:t>Journal of Experimental Psychology: General</w:t>
      </w:r>
      <w:r w:rsidRPr="00192176">
        <w:rPr>
          <w:szCs w:val="24"/>
        </w:rPr>
        <w:t>, 153(8): 2068</w:t>
      </w:r>
      <w:r w:rsidR="00D94F54">
        <w:rPr>
          <w:szCs w:val="24"/>
        </w:rPr>
        <w:t>-2087</w:t>
      </w:r>
      <w:r w:rsidRPr="00192176">
        <w:rPr>
          <w:szCs w:val="24"/>
        </w:rPr>
        <w:t xml:space="preserve">, </w:t>
      </w:r>
      <w:hyperlink r:id="rId86" w:history="1">
        <w:r w:rsidRPr="00192176">
          <w:rPr>
            <w:rStyle w:val="Hyperlink"/>
            <w:szCs w:val="24"/>
          </w:rPr>
          <w:t>https://doi.org/10.1037/xge0001603</w:t>
        </w:r>
      </w:hyperlink>
      <w:r w:rsidRPr="00192176">
        <w:rPr>
          <w:szCs w:val="24"/>
        </w:rPr>
        <w:t>.</w:t>
      </w:r>
      <w:r>
        <w:rPr>
          <w:szCs w:val="24"/>
        </w:rPr>
        <w:t xml:space="preserve"> </w:t>
      </w:r>
    </w:p>
    <w:p w14:paraId="79AD4F0E" w14:textId="79811DF8" w:rsidR="007D0715" w:rsidRPr="00192176" w:rsidRDefault="007D0715" w:rsidP="007D0715">
      <w:pPr>
        <w:rPr>
          <w:szCs w:val="24"/>
        </w:rPr>
      </w:pPr>
      <w:r w:rsidRPr="00192176">
        <w:rPr>
          <w:szCs w:val="24"/>
        </w:rPr>
        <w:t xml:space="preserve">Lewandowsky S, Cook J, Ecker UKH, Albarracín D, Amazeen MA, </w:t>
      </w:r>
      <w:proofErr w:type="spellStart"/>
      <w:r w:rsidRPr="00192176">
        <w:rPr>
          <w:szCs w:val="24"/>
        </w:rPr>
        <w:t>Kendeou</w:t>
      </w:r>
      <w:proofErr w:type="spellEnd"/>
      <w:r w:rsidRPr="00192176">
        <w:rPr>
          <w:szCs w:val="24"/>
        </w:rPr>
        <w:t xml:space="preserve"> P, Lombardi D, Newman EJ, Pennycook G, Porter E, Rand DG, Rapp DN, Reifler J, </w:t>
      </w:r>
      <w:proofErr w:type="spellStart"/>
      <w:r w:rsidRPr="00192176">
        <w:rPr>
          <w:szCs w:val="24"/>
        </w:rPr>
        <w:t>Roozenbeek</w:t>
      </w:r>
      <w:proofErr w:type="spellEnd"/>
      <w:r w:rsidRPr="00192176">
        <w:rPr>
          <w:szCs w:val="24"/>
        </w:rPr>
        <w:t xml:space="preserve"> J, Schmid P, Seifert CM, Sinatra GM, Swire-Thompson B, van der Linden S, </w:t>
      </w:r>
      <w:proofErr w:type="spellStart"/>
      <w:r w:rsidRPr="00192176">
        <w:rPr>
          <w:szCs w:val="24"/>
        </w:rPr>
        <w:t>Vraga</w:t>
      </w:r>
      <w:proofErr w:type="spellEnd"/>
      <w:r w:rsidRPr="00192176">
        <w:rPr>
          <w:szCs w:val="24"/>
        </w:rPr>
        <w:t xml:space="preserve"> EK, Wood TJ</w:t>
      </w:r>
      <w:r w:rsidR="00AB1139">
        <w:rPr>
          <w:szCs w:val="24"/>
        </w:rPr>
        <w:t xml:space="preserve"> and</w:t>
      </w:r>
      <w:r w:rsidRPr="00192176">
        <w:rPr>
          <w:szCs w:val="24"/>
        </w:rPr>
        <w:t xml:space="preserve"> Zaragoza MS (2020) </w:t>
      </w:r>
      <w:hyperlink r:id="rId87" w:history="1">
        <w:r w:rsidRPr="00192176">
          <w:rPr>
            <w:rStyle w:val="Hyperlink"/>
            <w:i/>
            <w:iCs/>
            <w:szCs w:val="24"/>
          </w:rPr>
          <w:t>The debunking handbook 2020</w:t>
        </w:r>
      </w:hyperlink>
      <w:r w:rsidRPr="00192176">
        <w:rPr>
          <w:szCs w:val="24"/>
        </w:rPr>
        <w:t xml:space="preserve">, </w:t>
      </w:r>
      <w:r w:rsidRPr="003744D4">
        <w:rPr>
          <w:szCs w:val="24"/>
        </w:rPr>
        <w:t>doi:10.17910/b7.1182.</w:t>
      </w:r>
    </w:p>
    <w:p w14:paraId="08BECD7E" w14:textId="497046B4" w:rsidR="007D0715" w:rsidRPr="00192176" w:rsidRDefault="007D0715" w:rsidP="007D0715">
      <w:pPr>
        <w:rPr>
          <w:szCs w:val="24"/>
        </w:rPr>
      </w:pPr>
      <w:r w:rsidRPr="00192176">
        <w:rPr>
          <w:szCs w:val="24"/>
        </w:rPr>
        <w:t>Lewandowsky S, Ecker UK</w:t>
      </w:r>
      <w:r w:rsidR="00AB1139">
        <w:rPr>
          <w:szCs w:val="24"/>
        </w:rPr>
        <w:t xml:space="preserve"> and</w:t>
      </w:r>
      <w:r w:rsidRPr="00192176">
        <w:rPr>
          <w:szCs w:val="24"/>
        </w:rPr>
        <w:t xml:space="preserve"> Cook J (2017) ‘Beyond misinformation: understanding and coping with the “post-truth” era’, </w:t>
      </w:r>
      <w:r w:rsidRPr="00192176">
        <w:rPr>
          <w:i/>
          <w:iCs/>
          <w:szCs w:val="24"/>
        </w:rPr>
        <w:t>Journal of Applied Research in Memory and Cognition</w:t>
      </w:r>
      <w:r w:rsidRPr="00192176">
        <w:rPr>
          <w:szCs w:val="24"/>
        </w:rPr>
        <w:t xml:space="preserve">, 6(4): 353–369, </w:t>
      </w:r>
      <w:hyperlink r:id="rId88" w:history="1">
        <w:r w:rsidRPr="00192176">
          <w:rPr>
            <w:rStyle w:val="Hyperlink"/>
            <w:szCs w:val="24"/>
          </w:rPr>
          <w:t>https://doi.org/10.1016/j.jarmac.2017.07.008</w:t>
        </w:r>
      </w:hyperlink>
      <w:r w:rsidRPr="00192176">
        <w:rPr>
          <w:szCs w:val="24"/>
        </w:rPr>
        <w:t>.</w:t>
      </w:r>
      <w:r>
        <w:rPr>
          <w:szCs w:val="24"/>
        </w:rPr>
        <w:t xml:space="preserve"> </w:t>
      </w:r>
    </w:p>
    <w:p w14:paraId="1ADE0290" w14:textId="49DD91FC" w:rsidR="007D0715" w:rsidRPr="00192176" w:rsidRDefault="007D0715" w:rsidP="007D0715">
      <w:pPr>
        <w:rPr>
          <w:szCs w:val="24"/>
        </w:rPr>
      </w:pPr>
      <w:r w:rsidRPr="00192176">
        <w:rPr>
          <w:szCs w:val="24"/>
        </w:rPr>
        <w:t xml:space="preserve">Lewandowsky S, Ecker UK, Cook J, van der Linden S, </w:t>
      </w:r>
      <w:proofErr w:type="spellStart"/>
      <w:r w:rsidRPr="00192176">
        <w:rPr>
          <w:szCs w:val="24"/>
        </w:rPr>
        <w:t>Roozenbeek</w:t>
      </w:r>
      <w:proofErr w:type="spellEnd"/>
      <w:r w:rsidRPr="00192176">
        <w:rPr>
          <w:szCs w:val="24"/>
        </w:rPr>
        <w:t xml:space="preserve"> J</w:t>
      </w:r>
      <w:r w:rsidR="00AB1139">
        <w:rPr>
          <w:szCs w:val="24"/>
        </w:rPr>
        <w:t xml:space="preserve"> and</w:t>
      </w:r>
      <w:r w:rsidRPr="00192176">
        <w:rPr>
          <w:szCs w:val="24"/>
        </w:rPr>
        <w:t xml:space="preserve"> Oreskes N (2023) ‘Misinformation and the epistemic integrity of democracy’, </w:t>
      </w:r>
      <w:r w:rsidRPr="00192176">
        <w:rPr>
          <w:i/>
          <w:iCs/>
          <w:szCs w:val="24"/>
        </w:rPr>
        <w:t>Current Opinion in Psychology</w:t>
      </w:r>
      <w:r w:rsidRPr="00192176">
        <w:rPr>
          <w:szCs w:val="24"/>
        </w:rPr>
        <w:t xml:space="preserve">, </w:t>
      </w:r>
      <w:r w:rsidR="001649C8">
        <w:rPr>
          <w:szCs w:val="24"/>
        </w:rPr>
        <w:t xml:space="preserve">54: </w:t>
      </w:r>
      <w:r w:rsidRPr="00192176">
        <w:rPr>
          <w:szCs w:val="24"/>
        </w:rPr>
        <w:t xml:space="preserve">101711, </w:t>
      </w:r>
      <w:hyperlink r:id="rId89" w:history="1">
        <w:r w:rsidRPr="00192176">
          <w:rPr>
            <w:rStyle w:val="Hyperlink"/>
            <w:szCs w:val="24"/>
          </w:rPr>
          <w:t>https://doi.org/10.1016/j.copsyc.2023.101711</w:t>
        </w:r>
      </w:hyperlink>
      <w:r w:rsidRPr="00192176">
        <w:rPr>
          <w:szCs w:val="24"/>
        </w:rPr>
        <w:t>.</w:t>
      </w:r>
      <w:r>
        <w:rPr>
          <w:szCs w:val="24"/>
        </w:rPr>
        <w:t xml:space="preserve"> </w:t>
      </w:r>
    </w:p>
    <w:p w14:paraId="52151319" w14:textId="2031517D" w:rsidR="007D0715" w:rsidRPr="005B6189" w:rsidRDefault="007D0715" w:rsidP="007D0715">
      <w:pPr>
        <w:rPr>
          <w:szCs w:val="24"/>
        </w:rPr>
      </w:pPr>
      <w:r w:rsidRPr="005B6189">
        <w:rPr>
          <w:szCs w:val="24"/>
        </w:rPr>
        <w:t xml:space="preserve">Lewandowsky S, Ecker UK, Cook J, van der Linden S, </w:t>
      </w:r>
      <w:proofErr w:type="spellStart"/>
      <w:r w:rsidRPr="005B6189">
        <w:rPr>
          <w:szCs w:val="24"/>
        </w:rPr>
        <w:t>Roozenbeek</w:t>
      </w:r>
      <w:proofErr w:type="spellEnd"/>
      <w:r w:rsidRPr="005B6189">
        <w:rPr>
          <w:szCs w:val="24"/>
        </w:rPr>
        <w:t xml:space="preserve"> J, Oreskes N</w:t>
      </w:r>
      <w:r w:rsidR="00AB1139" w:rsidRPr="005B6189">
        <w:rPr>
          <w:szCs w:val="24"/>
        </w:rPr>
        <w:t xml:space="preserve"> and</w:t>
      </w:r>
      <w:r w:rsidRPr="005B6189">
        <w:rPr>
          <w:szCs w:val="24"/>
        </w:rPr>
        <w:t xml:space="preserve"> McIntyre LC (2024</w:t>
      </w:r>
      <w:r w:rsidR="00FC3951">
        <w:rPr>
          <w:szCs w:val="24"/>
        </w:rPr>
        <w:t>a</w:t>
      </w:r>
      <w:r w:rsidRPr="005B6189">
        <w:rPr>
          <w:szCs w:val="24"/>
        </w:rPr>
        <w:t xml:space="preserve">) ‘Liars know they are lying: differentiating disinformation from disagreement’, </w:t>
      </w:r>
      <w:r w:rsidRPr="005B6189">
        <w:rPr>
          <w:i/>
          <w:iCs/>
          <w:szCs w:val="24"/>
        </w:rPr>
        <w:t>Humanities and Social Sciences Communications</w:t>
      </w:r>
      <w:r w:rsidRPr="005B6189">
        <w:rPr>
          <w:szCs w:val="24"/>
        </w:rPr>
        <w:t xml:space="preserve">, 11: 986, </w:t>
      </w:r>
      <w:hyperlink r:id="rId90" w:history="1">
        <w:r w:rsidRPr="005B6189">
          <w:rPr>
            <w:rStyle w:val="Hyperlink"/>
            <w:szCs w:val="24"/>
          </w:rPr>
          <w:t>https://doi.org/10.1057/s41599-024-03503-6</w:t>
        </w:r>
      </w:hyperlink>
      <w:r w:rsidRPr="005B6189">
        <w:rPr>
          <w:szCs w:val="24"/>
        </w:rPr>
        <w:t xml:space="preserve">. </w:t>
      </w:r>
    </w:p>
    <w:p w14:paraId="0D8A762F" w14:textId="1F0FF85C" w:rsidR="007D0715" w:rsidRPr="00192176" w:rsidRDefault="007D0715" w:rsidP="007D0715">
      <w:pPr>
        <w:rPr>
          <w:szCs w:val="24"/>
        </w:rPr>
      </w:pPr>
      <w:r w:rsidRPr="00B06F96">
        <w:rPr>
          <w:szCs w:val="24"/>
        </w:rPr>
        <w:t>Lewandowsky S, Robertson RE</w:t>
      </w:r>
      <w:r w:rsidR="00AB1139" w:rsidRPr="00B06F96">
        <w:rPr>
          <w:szCs w:val="24"/>
        </w:rPr>
        <w:t xml:space="preserve"> and</w:t>
      </w:r>
      <w:r w:rsidRPr="00B06F96">
        <w:rPr>
          <w:szCs w:val="24"/>
        </w:rPr>
        <w:t xml:space="preserve"> DiResta R (2024</w:t>
      </w:r>
      <w:r w:rsidR="00FC3951" w:rsidRPr="00B06F96">
        <w:rPr>
          <w:szCs w:val="24"/>
        </w:rPr>
        <w:t>b</w:t>
      </w:r>
      <w:r w:rsidRPr="00B06F96">
        <w:rPr>
          <w:szCs w:val="24"/>
        </w:rPr>
        <w:t>) ‘Challenges in understanding human</w:t>
      </w:r>
      <w:r w:rsidRPr="00B06F96">
        <w:rPr>
          <w:szCs w:val="24"/>
        </w:rPr>
        <w:noBreakHyphen/>
        <w:t xml:space="preserve">algorithm entanglement during online information consumption’, </w:t>
      </w:r>
      <w:r w:rsidRPr="00B06F96">
        <w:rPr>
          <w:i/>
          <w:iCs/>
          <w:szCs w:val="24"/>
        </w:rPr>
        <w:t>Perspectives on Psychological Science</w:t>
      </w:r>
      <w:r w:rsidRPr="00B06F96">
        <w:rPr>
          <w:szCs w:val="24"/>
        </w:rPr>
        <w:t xml:space="preserve">, 19(5): 758–766, </w:t>
      </w:r>
      <w:hyperlink r:id="rId91" w:history="1">
        <w:r w:rsidRPr="00B06F96">
          <w:rPr>
            <w:rStyle w:val="Hyperlink"/>
            <w:szCs w:val="24"/>
          </w:rPr>
          <w:t>https://doi.org/10.1177/17456916231180809</w:t>
        </w:r>
      </w:hyperlink>
      <w:r w:rsidRPr="00B06F96">
        <w:rPr>
          <w:szCs w:val="24"/>
        </w:rPr>
        <w:t>.</w:t>
      </w:r>
      <w:r>
        <w:rPr>
          <w:szCs w:val="24"/>
        </w:rPr>
        <w:t xml:space="preserve"> </w:t>
      </w:r>
    </w:p>
    <w:p w14:paraId="13E4A339" w14:textId="7D8D4374" w:rsidR="007D0715" w:rsidRPr="00192176" w:rsidRDefault="007D0715" w:rsidP="007D0715">
      <w:pPr>
        <w:rPr>
          <w:szCs w:val="24"/>
        </w:rPr>
      </w:pPr>
      <w:r w:rsidRPr="00192176">
        <w:rPr>
          <w:szCs w:val="24"/>
        </w:rPr>
        <w:t>Lewandowsky S</w:t>
      </w:r>
      <w:r w:rsidR="00AB1139">
        <w:rPr>
          <w:szCs w:val="24"/>
        </w:rPr>
        <w:t xml:space="preserve"> and</w:t>
      </w:r>
      <w:r w:rsidRPr="00192176">
        <w:rPr>
          <w:szCs w:val="24"/>
        </w:rPr>
        <w:t xml:space="preserve"> van der Linden S (2021) ‘Countering misinformation and fake news through inoculation and </w:t>
      </w:r>
      <w:proofErr w:type="spellStart"/>
      <w:r w:rsidRPr="00192176">
        <w:rPr>
          <w:szCs w:val="24"/>
        </w:rPr>
        <w:t>prebunking</w:t>
      </w:r>
      <w:proofErr w:type="spellEnd"/>
      <w:r w:rsidRPr="00192176">
        <w:rPr>
          <w:szCs w:val="24"/>
        </w:rPr>
        <w:t xml:space="preserve">’, </w:t>
      </w:r>
      <w:r w:rsidRPr="00192176">
        <w:rPr>
          <w:i/>
          <w:iCs/>
          <w:szCs w:val="24"/>
        </w:rPr>
        <w:t>European Review of Social Psychology</w:t>
      </w:r>
      <w:r w:rsidRPr="00192176">
        <w:rPr>
          <w:szCs w:val="24"/>
        </w:rPr>
        <w:t xml:space="preserve">, 32(2): 348–384, </w:t>
      </w:r>
      <w:hyperlink r:id="rId92" w:history="1">
        <w:r w:rsidRPr="00192176">
          <w:rPr>
            <w:rStyle w:val="Hyperlink"/>
            <w:szCs w:val="24"/>
          </w:rPr>
          <w:t>https://doi.org/10.1080/10463283.2021.1876983</w:t>
        </w:r>
      </w:hyperlink>
      <w:r w:rsidRPr="00192176">
        <w:rPr>
          <w:szCs w:val="24"/>
        </w:rPr>
        <w:t>.</w:t>
      </w:r>
      <w:r>
        <w:rPr>
          <w:szCs w:val="24"/>
        </w:rPr>
        <w:t xml:space="preserve"> </w:t>
      </w:r>
    </w:p>
    <w:p w14:paraId="45567362" w14:textId="2DCDEED6" w:rsidR="007D0715" w:rsidRPr="00192176" w:rsidRDefault="007D0715" w:rsidP="007D0715">
      <w:pPr>
        <w:rPr>
          <w:szCs w:val="24"/>
        </w:rPr>
      </w:pPr>
      <w:r w:rsidRPr="00D84E6B">
        <w:rPr>
          <w:szCs w:val="24"/>
        </w:rPr>
        <w:t xml:space="preserve">Lin H, Garro H, Wernerfelt N, Shore JC, Hughes A, Deisenroth D, </w:t>
      </w:r>
      <w:r w:rsidR="00D84E6B" w:rsidRPr="00D84E6B">
        <w:rPr>
          <w:szCs w:val="24"/>
        </w:rPr>
        <w:t>Barr N, Berinsky A, Eckles D, Pennycook G and Rand DG</w:t>
      </w:r>
      <w:r w:rsidRPr="00D84E6B">
        <w:rPr>
          <w:szCs w:val="24"/>
        </w:rPr>
        <w:t xml:space="preserve"> (2024) ‘Reducing misinformation sharing at scale using digital accuracy prompt ads’, </w:t>
      </w:r>
      <w:proofErr w:type="spellStart"/>
      <w:r w:rsidRPr="00D84E6B">
        <w:rPr>
          <w:i/>
          <w:iCs/>
          <w:szCs w:val="24"/>
        </w:rPr>
        <w:t>PsyArXiv</w:t>
      </w:r>
      <w:proofErr w:type="spellEnd"/>
      <w:r w:rsidRPr="00D84E6B">
        <w:rPr>
          <w:i/>
          <w:iCs/>
          <w:szCs w:val="24"/>
        </w:rPr>
        <w:t xml:space="preserve"> </w:t>
      </w:r>
      <w:hyperlink r:id="rId93" w:history="1">
        <w:r w:rsidRPr="00D84E6B">
          <w:rPr>
            <w:rStyle w:val="Hyperlink"/>
            <w:szCs w:val="24"/>
          </w:rPr>
          <w:t>https://doi.org/10.31234/osf.io/u8anb</w:t>
        </w:r>
      </w:hyperlink>
      <w:r w:rsidRPr="00D84E6B">
        <w:rPr>
          <w:szCs w:val="24"/>
        </w:rPr>
        <w:t>.</w:t>
      </w:r>
      <w:r>
        <w:rPr>
          <w:szCs w:val="24"/>
        </w:rPr>
        <w:t xml:space="preserve"> </w:t>
      </w:r>
    </w:p>
    <w:p w14:paraId="209560DA" w14:textId="1140F47F" w:rsidR="007D0715" w:rsidRPr="00192176" w:rsidRDefault="007D0715" w:rsidP="007D0715">
      <w:pPr>
        <w:rPr>
          <w:szCs w:val="24"/>
        </w:rPr>
      </w:pPr>
      <w:r w:rsidRPr="00192176">
        <w:rPr>
          <w:szCs w:val="24"/>
        </w:rPr>
        <w:t>Linegar M, Sinclair B, van der Linden S</w:t>
      </w:r>
      <w:r w:rsidR="00AB1139">
        <w:rPr>
          <w:szCs w:val="24"/>
        </w:rPr>
        <w:t xml:space="preserve"> and</w:t>
      </w:r>
      <w:r w:rsidRPr="00192176">
        <w:rPr>
          <w:szCs w:val="24"/>
        </w:rPr>
        <w:t xml:space="preserve"> Alvarez RM (2024) ‘</w:t>
      </w:r>
      <w:proofErr w:type="spellStart"/>
      <w:r w:rsidRPr="00192176">
        <w:rPr>
          <w:szCs w:val="24"/>
        </w:rPr>
        <w:t>Prebunking</w:t>
      </w:r>
      <w:proofErr w:type="spellEnd"/>
      <w:r w:rsidRPr="00192176">
        <w:rPr>
          <w:szCs w:val="24"/>
        </w:rPr>
        <w:t xml:space="preserve"> elections rumours: artificial intelligence assisted interventions increase confidence in American elections’, </w:t>
      </w:r>
      <w:proofErr w:type="spellStart"/>
      <w:r w:rsidRPr="00192176">
        <w:rPr>
          <w:i/>
          <w:iCs/>
          <w:szCs w:val="24"/>
        </w:rPr>
        <w:t>arXiv</w:t>
      </w:r>
      <w:proofErr w:type="spellEnd"/>
      <w:r w:rsidRPr="00192176">
        <w:rPr>
          <w:i/>
          <w:iCs/>
          <w:szCs w:val="24"/>
        </w:rPr>
        <w:t xml:space="preserve"> preprint</w:t>
      </w:r>
      <w:r w:rsidRPr="00192176">
        <w:rPr>
          <w:szCs w:val="24"/>
        </w:rPr>
        <w:t xml:space="preserve"> arXiv:2410.19202, </w:t>
      </w:r>
      <w:hyperlink r:id="rId94" w:history="1">
        <w:r w:rsidR="0077279D">
          <w:rPr>
            <w:rStyle w:val="Hyperlink"/>
            <w:szCs w:val="24"/>
          </w:rPr>
          <w:t>https://arxiv.org/abs/2410.19202v1</w:t>
        </w:r>
      </w:hyperlink>
      <w:r w:rsidRPr="00192176">
        <w:rPr>
          <w:szCs w:val="24"/>
        </w:rPr>
        <w:t>.</w:t>
      </w:r>
      <w:r>
        <w:rPr>
          <w:szCs w:val="24"/>
        </w:rPr>
        <w:t xml:space="preserve"> </w:t>
      </w:r>
    </w:p>
    <w:p w14:paraId="1DB15467" w14:textId="34FF78DB" w:rsidR="007D0715" w:rsidRPr="00192176" w:rsidRDefault="007D0715" w:rsidP="007D0715">
      <w:pPr>
        <w:rPr>
          <w:szCs w:val="24"/>
        </w:rPr>
      </w:pPr>
      <w:r w:rsidRPr="00192176">
        <w:rPr>
          <w:szCs w:val="24"/>
        </w:rPr>
        <w:t>London DA, Andelman SM, Christiano AV, Kim JH, Hausman MR</w:t>
      </w:r>
      <w:r w:rsidR="00AB1139">
        <w:rPr>
          <w:szCs w:val="24"/>
        </w:rPr>
        <w:t xml:space="preserve"> and</w:t>
      </w:r>
      <w:r w:rsidRPr="00192176">
        <w:rPr>
          <w:szCs w:val="24"/>
        </w:rPr>
        <w:t xml:space="preserve"> Kim JM (2019) ‘Is Wikipedia a complete and accurate source for musculoskeletal anatomy?’, </w:t>
      </w:r>
      <w:r w:rsidRPr="00192176">
        <w:rPr>
          <w:i/>
          <w:iCs/>
          <w:szCs w:val="24"/>
        </w:rPr>
        <w:t>Surgical and Radiologic Anatomy</w:t>
      </w:r>
      <w:r w:rsidRPr="00192176">
        <w:rPr>
          <w:szCs w:val="24"/>
        </w:rPr>
        <w:t xml:space="preserve">, 41: 1187–1192, </w:t>
      </w:r>
      <w:hyperlink r:id="rId95" w:history="1">
        <w:r w:rsidRPr="00192176">
          <w:rPr>
            <w:rStyle w:val="Hyperlink"/>
            <w:szCs w:val="24"/>
          </w:rPr>
          <w:t>https://doi.org/10.1007/s00276-019-02280-1</w:t>
        </w:r>
      </w:hyperlink>
      <w:r w:rsidRPr="00192176">
        <w:rPr>
          <w:szCs w:val="24"/>
        </w:rPr>
        <w:t>.</w:t>
      </w:r>
      <w:r>
        <w:rPr>
          <w:szCs w:val="24"/>
        </w:rPr>
        <w:t xml:space="preserve"> </w:t>
      </w:r>
    </w:p>
    <w:p w14:paraId="36FFB8A7" w14:textId="7C8548FF" w:rsidR="007D0715" w:rsidRPr="00192176" w:rsidRDefault="007D0715" w:rsidP="007D0715">
      <w:pPr>
        <w:rPr>
          <w:szCs w:val="24"/>
        </w:rPr>
      </w:pPr>
      <w:r w:rsidRPr="00192176">
        <w:rPr>
          <w:szCs w:val="24"/>
        </w:rPr>
        <w:t>Loomba S, De Figueiredo A, Piatek SJ, De Graaf K</w:t>
      </w:r>
      <w:r w:rsidR="00AB1139">
        <w:rPr>
          <w:szCs w:val="24"/>
        </w:rPr>
        <w:t xml:space="preserve"> and</w:t>
      </w:r>
      <w:r w:rsidRPr="00192176">
        <w:rPr>
          <w:szCs w:val="24"/>
        </w:rPr>
        <w:t xml:space="preserve"> Larson HJ (2021) ‘Measuring the impact of COVID</w:t>
      </w:r>
      <w:r w:rsidRPr="00192176">
        <w:rPr>
          <w:szCs w:val="24"/>
        </w:rPr>
        <w:noBreakHyphen/>
        <w:t xml:space="preserve">19 vaccine misinformation on vaccination intent in the UK and USA’, </w:t>
      </w:r>
      <w:r w:rsidRPr="00192176">
        <w:rPr>
          <w:i/>
          <w:iCs/>
          <w:szCs w:val="24"/>
        </w:rPr>
        <w:t>Nature Human Behaviour</w:t>
      </w:r>
      <w:r w:rsidRPr="00192176">
        <w:rPr>
          <w:szCs w:val="24"/>
        </w:rPr>
        <w:t xml:space="preserve">, 5: 337–348, </w:t>
      </w:r>
      <w:hyperlink r:id="rId96" w:history="1">
        <w:r w:rsidRPr="00192176">
          <w:rPr>
            <w:rStyle w:val="Hyperlink"/>
            <w:szCs w:val="24"/>
          </w:rPr>
          <w:t>https://doi.org/10.1038/s41562-021-01056-1</w:t>
        </w:r>
      </w:hyperlink>
      <w:r w:rsidRPr="00192176">
        <w:rPr>
          <w:szCs w:val="24"/>
        </w:rPr>
        <w:t>.</w:t>
      </w:r>
      <w:r>
        <w:rPr>
          <w:szCs w:val="24"/>
        </w:rPr>
        <w:t xml:space="preserve"> </w:t>
      </w:r>
    </w:p>
    <w:p w14:paraId="0B5BB237" w14:textId="6DC65E2D" w:rsidR="007D0715" w:rsidRPr="00192176" w:rsidRDefault="007D0715" w:rsidP="007D0715">
      <w:pPr>
        <w:rPr>
          <w:szCs w:val="24"/>
        </w:rPr>
      </w:pPr>
      <w:r w:rsidRPr="00192176">
        <w:rPr>
          <w:szCs w:val="24"/>
        </w:rPr>
        <w:t>Lorenz-Spreen P, Oswald L, Lewandowsky S</w:t>
      </w:r>
      <w:r w:rsidR="00AB1139">
        <w:rPr>
          <w:szCs w:val="24"/>
        </w:rPr>
        <w:t xml:space="preserve"> and</w:t>
      </w:r>
      <w:r w:rsidRPr="00192176">
        <w:rPr>
          <w:szCs w:val="24"/>
        </w:rPr>
        <w:t xml:space="preserve"> Hertwig R (2023) ‘A systematic review of worldwide causal and correlational evidence on digital media and democracy’, </w:t>
      </w:r>
      <w:r w:rsidRPr="00192176">
        <w:rPr>
          <w:i/>
          <w:iCs/>
          <w:szCs w:val="24"/>
        </w:rPr>
        <w:t>Nature Human Behaviour</w:t>
      </w:r>
      <w:r w:rsidRPr="00192176">
        <w:rPr>
          <w:szCs w:val="24"/>
        </w:rPr>
        <w:t>, 7: 74–101</w:t>
      </w:r>
      <w:r w:rsidR="0088197B">
        <w:rPr>
          <w:szCs w:val="24"/>
        </w:rPr>
        <w:t xml:space="preserve">, </w:t>
      </w:r>
      <w:hyperlink r:id="rId97" w:history="1">
        <w:r w:rsidR="0088197B" w:rsidRPr="00740626">
          <w:rPr>
            <w:rStyle w:val="Hyperlink"/>
            <w:szCs w:val="24"/>
          </w:rPr>
          <w:t>https://doi.org/10.1038/s41562-022-01460-1</w:t>
        </w:r>
      </w:hyperlink>
      <w:r w:rsidR="0088197B">
        <w:rPr>
          <w:szCs w:val="24"/>
        </w:rPr>
        <w:t xml:space="preserve">. </w:t>
      </w:r>
    </w:p>
    <w:p w14:paraId="57D0AFC3" w14:textId="29AFCBC7" w:rsidR="007D0715" w:rsidRPr="00192176" w:rsidRDefault="007D0715" w:rsidP="007D0715">
      <w:pPr>
        <w:rPr>
          <w:szCs w:val="24"/>
        </w:rPr>
      </w:pPr>
      <w:r w:rsidRPr="00192176">
        <w:rPr>
          <w:szCs w:val="24"/>
        </w:rPr>
        <w:t>Lu C, Hu B, Bao MM, Wang C, Bi C</w:t>
      </w:r>
      <w:r w:rsidR="00AB1139">
        <w:rPr>
          <w:szCs w:val="24"/>
        </w:rPr>
        <w:t xml:space="preserve"> and</w:t>
      </w:r>
      <w:r w:rsidRPr="00192176">
        <w:rPr>
          <w:szCs w:val="24"/>
        </w:rPr>
        <w:t xml:space="preserve"> Ju XD (2024) ‘Can media literacy intervention improve fake news credibility assessment? a meta-analysis’, </w:t>
      </w:r>
      <w:r w:rsidRPr="00192176">
        <w:rPr>
          <w:i/>
          <w:iCs/>
          <w:szCs w:val="24"/>
        </w:rPr>
        <w:t xml:space="preserve">Cyberpsychology, </w:t>
      </w:r>
      <w:proofErr w:type="spellStart"/>
      <w:r w:rsidRPr="00192176">
        <w:rPr>
          <w:i/>
          <w:iCs/>
          <w:szCs w:val="24"/>
        </w:rPr>
        <w:t>Behavior</w:t>
      </w:r>
      <w:proofErr w:type="spellEnd"/>
      <w:r w:rsidRPr="00192176">
        <w:rPr>
          <w:i/>
          <w:iCs/>
          <w:szCs w:val="24"/>
        </w:rPr>
        <w:t>, and Social Networking</w:t>
      </w:r>
      <w:r w:rsidRPr="00192176">
        <w:rPr>
          <w:szCs w:val="24"/>
        </w:rPr>
        <w:t xml:space="preserve">, 27(4): 240–252, </w:t>
      </w:r>
      <w:hyperlink r:id="rId98" w:history="1">
        <w:r w:rsidRPr="00192176">
          <w:rPr>
            <w:rStyle w:val="Hyperlink"/>
            <w:szCs w:val="24"/>
          </w:rPr>
          <w:t>https://doi.org/10.1089/cyber.2023.0324</w:t>
        </w:r>
      </w:hyperlink>
      <w:r w:rsidRPr="00192176">
        <w:rPr>
          <w:szCs w:val="24"/>
        </w:rPr>
        <w:t>.</w:t>
      </w:r>
      <w:r>
        <w:rPr>
          <w:szCs w:val="24"/>
        </w:rPr>
        <w:t xml:space="preserve"> </w:t>
      </w:r>
    </w:p>
    <w:p w14:paraId="7BF3A620" w14:textId="42E6C3BD" w:rsidR="007D0715" w:rsidRPr="00192176" w:rsidRDefault="007D0715" w:rsidP="007D0715">
      <w:pPr>
        <w:rPr>
          <w:szCs w:val="24"/>
        </w:rPr>
      </w:pPr>
      <w:r w:rsidRPr="00192176">
        <w:rPr>
          <w:szCs w:val="24"/>
        </w:rPr>
        <w:t>Lyons B, King AJ</w:t>
      </w:r>
      <w:r w:rsidR="00AB1139">
        <w:rPr>
          <w:szCs w:val="24"/>
        </w:rPr>
        <w:t xml:space="preserve"> and</w:t>
      </w:r>
      <w:r w:rsidRPr="00192176">
        <w:rPr>
          <w:szCs w:val="24"/>
        </w:rPr>
        <w:t xml:space="preserve"> Kaphingst KA (2024) ‘A health media literacy intervention increases </w:t>
      </w:r>
      <w:proofErr w:type="spellStart"/>
      <w:r w:rsidRPr="00192176">
        <w:rPr>
          <w:szCs w:val="24"/>
        </w:rPr>
        <w:t>skepticism</w:t>
      </w:r>
      <w:proofErr w:type="spellEnd"/>
      <w:r w:rsidRPr="00192176">
        <w:rPr>
          <w:szCs w:val="24"/>
        </w:rPr>
        <w:t xml:space="preserve"> of both inaccurate and accurate cancer news among US adults’, </w:t>
      </w:r>
      <w:r w:rsidRPr="00192176">
        <w:rPr>
          <w:i/>
          <w:iCs/>
          <w:szCs w:val="24"/>
        </w:rPr>
        <w:t xml:space="preserve">Annals of </w:t>
      </w:r>
      <w:proofErr w:type="spellStart"/>
      <w:r w:rsidRPr="00192176">
        <w:rPr>
          <w:i/>
          <w:iCs/>
          <w:szCs w:val="24"/>
        </w:rPr>
        <w:t>Behavioral</w:t>
      </w:r>
      <w:proofErr w:type="spellEnd"/>
      <w:r w:rsidRPr="00192176">
        <w:rPr>
          <w:i/>
          <w:iCs/>
          <w:szCs w:val="24"/>
        </w:rPr>
        <w:t xml:space="preserve"> Medicine</w:t>
      </w:r>
      <w:r w:rsidRPr="00192176">
        <w:rPr>
          <w:szCs w:val="24"/>
        </w:rPr>
        <w:t xml:space="preserve">, </w:t>
      </w:r>
      <w:r>
        <w:rPr>
          <w:szCs w:val="24"/>
        </w:rPr>
        <w:t>58(12): 820</w:t>
      </w:r>
      <w:r w:rsidR="00E831FD">
        <w:rPr>
          <w:szCs w:val="24"/>
        </w:rPr>
        <w:t>–</w:t>
      </w:r>
      <w:r>
        <w:rPr>
          <w:szCs w:val="24"/>
        </w:rPr>
        <w:t>831</w:t>
      </w:r>
      <w:r w:rsidRPr="00192176">
        <w:rPr>
          <w:szCs w:val="24"/>
        </w:rPr>
        <w:t xml:space="preserve">, </w:t>
      </w:r>
      <w:hyperlink r:id="rId99" w:history="1">
        <w:r w:rsidRPr="00192176">
          <w:rPr>
            <w:rStyle w:val="Hyperlink"/>
            <w:szCs w:val="24"/>
          </w:rPr>
          <w:t>https://doi.org/10.1093/abm/kaae054</w:t>
        </w:r>
      </w:hyperlink>
      <w:r w:rsidRPr="00192176">
        <w:rPr>
          <w:szCs w:val="24"/>
        </w:rPr>
        <w:t>.</w:t>
      </w:r>
      <w:r>
        <w:rPr>
          <w:szCs w:val="24"/>
        </w:rPr>
        <w:t xml:space="preserve"> </w:t>
      </w:r>
    </w:p>
    <w:p w14:paraId="4D39151B" w14:textId="765EA735" w:rsidR="007D0715" w:rsidRPr="00192176" w:rsidRDefault="007D0715" w:rsidP="007D0715">
      <w:pPr>
        <w:rPr>
          <w:szCs w:val="24"/>
        </w:rPr>
      </w:pPr>
      <w:proofErr w:type="spellStart"/>
      <w:r w:rsidRPr="00192176">
        <w:rPr>
          <w:szCs w:val="24"/>
        </w:rPr>
        <w:t>Lythreatis</w:t>
      </w:r>
      <w:proofErr w:type="spellEnd"/>
      <w:r w:rsidRPr="00192176">
        <w:rPr>
          <w:szCs w:val="24"/>
        </w:rPr>
        <w:t xml:space="preserve"> S, Singh SK</w:t>
      </w:r>
      <w:r w:rsidR="00AB1139">
        <w:rPr>
          <w:szCs w:val="24"/>
        </w:rPr>
        <w:t xml:space="preserve"> and</w:t>
      </w:r>
      <w:r w:rsidRPr="00192176">
        <w:rPr>
          <w:szCs w:val="24"/>
        </w:rPr>
        <w:t xml:space="preserve"> El-Kassar AN (2022) ‘The digital divide: a review and future research agenda’, </w:t>
      </w:r>
      <w:r w:rsidRPr="00192176">
        <w:rPr>
          <w:i/>
          <w:iCs/>
          <w:szCs w:val="24"/>
        </w:rPr>
        <w:t>Technological Forecasting and Social Change</w:t>
      </w:r>
      <w:r w:rsidRPr="00192176">
        <w:rPr>
          <w:szCs w:val="24"/>
        </w:rPr>
        <w:t xml:space="preserve">, 175: 121359, </w:t>
      </w:r>
      <w:hyperlink r:id="rId100" w:history="1">
        <w:r w:rsidRPr="00192176">
          <w:rPr>
            <w:rStyle w:val="Hyperlink"/>
            <w:szCs w:val="24"/>
          </w:rPr>
          <w:t>https://doi.org/10.1016/j.techfore.2021.121359</w:t>
        </w:r>
      </w:hyperlink>
      <w:r w:rsidRPr="00192176">
        <w:rPr>
          <w:szCs w:val="24"/>
        </w:rPr>
        <w:t>.</w:t>
      </w:r>
      <w:r>
        <w:rPr>
          <w:szCs w:val="24"/>
        </w:rPr>
        <w:t xml:space="preserve"> </w:t>
      </w:r>
    </w:p>
    <w:p w14:paraId="21EB93D6" w14:textId="078797C4" w:rsidR="007D0715" w:rsidRPr="00192176" w:rsidRDefault="007D0715" w:rsidP="007D0715">
      <w:pPr>
        <w:rPr>
          <w:szCs w:val="24"/>
        </w:rPr>
      </w:pPr>
      <w:r w:rsidRPr="00192176">
        <w:rPr>
          <w:szCs w:val="24"/>
        </w:rPr>
        <w:t xml:space="preserve">Maertens R, </w:t>
      </w:r>
      <w:proofErr w:type="spellStart"/>
      <w:r w:rsidRPr="00192176">
        <w:rPr>
          <w:szCs w:val="24"/>
        </w:rPr>
        <w:t>Roozenbeek</w:t>
      </w:r>
      <w:proofErr w:type="spellEnd"/>
      <w:r w:rsidRPr="00192176">
        <w:rPr>
          <w:szCs w:val="24"/>
        </w:rPr>
        <w:t xml:space="preserve"> J, Basol M</w:t>
      </w:r>
      <w:r w:rsidR="00AB1139">
        <w:rPr>
          <w:szCs w:val="24"/>
        </w:rPr>
        <w:t xml:space="preserve"> and</w:t>
      </w:r>
      <w:r w:rsidRPr="00192176">
        <w:rPr>
          <w:szCs w:val="24"/>
        </w:rPr>
        <w:t xml:space="preserve"> van der Linden S (2021) ‘Long-term effectiveness of inoculation against misinformation: three longitudinal experiments’, </w:t>
      </w:r>
      <w:r w:rsidRPr="00192176">
        <w:rPr>
          <w:i/>
          <w:iCs/>
          <w:szCs w:val="24"/>
        </w:rPr>
        <w:t>Journal of Experimental Psychology: Applied</w:t>
      </w:r>
      <w:r w:rsidRPr="00192176">
        <w:rPr>
          <w:szCs w:val="24"/>
        </w:rPr>
        <w:t>, 27(1): 1</w:t>
      </w:r>
      <w:r w:rsidR="00B05BDB">
        <w:rPr>
          <w:szCs w:val="24"/>
        </w:rPr>
        <w:t>-16</w:t>
      </w:r>
      <w:r w:rsidRPr="00192176">
        <w:rPr>
          <w:szCs w:val="24"/>
        </w:rPr>
        <w:t xml:space="preserve">, </w:t>
      </w:r>
      <w:hyperlink r:id="rId101" w:history="1">
        <w:r w:rsidRPr="00192176">
          <w:rPr>
            <w:rStyle w:val="Hyperlink"/>
            <w:szCs w:val="24"/>
          </w:rPr>
          <w:t>https://psycnet.apa.org/doi/10.1037/xap0000315</w:t>
        </w:r>
      </w:hyperlink>
      <w:r w:rsidRPr="00192176">
        <w:rPr>
          <w:szCs w:val="24"/>
        </w:rPr>
        <w:t>.</w:t>
      </w:r>
      <w:r>
        <w:rPr>
          <w:szCs w:val="24"/>
        </w:rPr>
        <w:t xml:space="preserve"> </w:t>
      </w:r>
    </w:p>
    <w:p w14:paraId="65934937" w14:textId="29179385" w:rsidR="007D0715" w:rsidRPr="00192176" w:rsidRDefault="007D0715" w:rsidP="007D0715">
      <w:pPr>
        <w:rPr>
          <w:szCs w:val="24"/>
        </w:rPr>
      </w:pPr>
      <w:r w:rsidRPr="0037427F">
        <w:rPr>
          <w:szCs w:val="24"/>
        </w:rPr>
        <w:t xml:space="preserve">Maertens R, </w:t>
      </w:r>
      <w:proofErr w:type="spellStart"/>
      <w:r w:rsidRPr="0037427F">
        <w:rPr>
          <w:szCs w:val="24"/>
        </w:rPr>
        <w:t>Roozenbeek</w:t>
      </w:r>
      <w:proofErr w:type="spellEnd"/>
      <w:r w:rsidRPr="0037427F">
        <w:rPr>
          <w:szCs w:val="24"/>
        </w:rPr>
        <w:t xml:space="preserve"> J, Simons JS, Lewandowsky S, Maturo V, Goldberg B, </w:t>
      </w:r>
      <w:r w:rsidR="00C04348" w:rsidRPr="0037427F">
        <w:rPr>
          <w:szCs w:val="24"/>
        </w:rPr>
        <w:t>Su R, van der Linden</w:t>
      </w:r>
      <w:r w:rsidR="0037427F" w:rsidRPr="0037427F">
        <w:rPr>
          <w:szCs w:val="24"/>
        </w:rPr>
        <w:t xml:space="preserve"> S</w:t>
      </w:r>
      <w:r w:rsidRPr="0037427F">
        <w:rPr>
          <w:szCs w:val="24"/>
        </w:rPr>
        <w:t xml:space="preserve"> (2025) ‘Psychological booster shots targeting memory increase long-term resistance against misinformation’, </w:t>
      </w:r>
      <w:r w:rsidRPr="0037427F">
        <w:rPr>
          <w:i/>
          <w:iCs/>
          <w:szCs w:val="24"/>
        </w:rPr>
        <w:t>Nature Communications</w:t>
      </w:r>
      <w:r w:rsidRPr="0037427F">
        <w:rPr>
          <w:szCs w:val="24"/>
        </w:rPr>
        <w:t>, 16: 2062</w:t>
      </w:r>
      <w:r w:rsidR="0037427F" w:rsidRPr="0037427F">
        <w:rPr>
          <w:szCs w:val="24"/>
        </w:rPr>
        <w:t>,</w:t>
      </w:r>
      <w:r w:rsidR="0037427F">
        <w:rPr>
          <w:szCs w:val="24"/>
        </w:rPr>
        <w:t xml:space="preserve"> </w:t>
      </w:r>
      <w:hyperlink r:id="rId102" w:history="1">
        <w:r w:rsidR="0037427F" w:rsidRPr="00740626">
          <w:rPr>
            <w:rStyle w:val="Hyperlink"/>
            <w:szCs w:val="24"/>
          </w:rPr>
          <w:t>https://doi.org/10.1038/s41467-025-57205-x</w:t>
        </w:r>
      </w:hyperlink>
      <w:r w:rsidR="0037427F">
        <w:rPr>
          <w:szCs w:val="24"/>
        </w:rPr>
        <w:t xml:space="preserve">. </w:t>
      </w:r>
    </w:p>
    <w:p w14:paraId="5E6C9FF7" w14:textId="14740183" w:rsidR="007D0715" w:rsidRPr="00192176" w:rsidRDefault="007D0715" w:rsidP="007D0715">
      <w:pPr>
        <w:rPr>
          <w:szCs w:val="24"/>
        </w:rPr>
      </w:pPr>
      <w:r w:rsidRPr="00192176">
        <w:rPr>
          <w:szCs w:val="24"/>
        </w:rPr>
        <w:t>Martel C, Allen J, Pennycook G</w:t>
      </w:r>
      <w:r w:rsidR="00AB1139">
        <w:rPr>
          <w:szCs w:val="24"/>
        </w:rPr>
        <w:t xml:space="preserve"> and</w:t>
      </w:r>
      <w:r w:rsidRPr="00192176">
        <w:rPr>
          <w:szCs w:val="24"/>
        </w:rPr>
        <w:t xml:space="preserve"> Rand DG (2024) ‘Crowds can effectively identify misinformation at scale’, </w:t>
      </w:r>
      <w:r w:rsidRPr="00192176">
        <w:rPr>
          <w:i/>
          <w:iCs/>
          <w:szCs w:val="24"/>
        </w:rPr>
        <w:t>Perspectives on Psychological Science</w:t>
      </w:r>
      <w:r w:rsidRPr="00192176">
        <w:rPr>
          <w:szCs w:val="24"/>
        </w:rPr>
        <w:t>, 19(2): 477–488</w:t>
      </w:r>
      <w:r w:rsidR="00E43E3F">
        <w:rPr>
          <w:szCs w:val="24"/>
        </w:rPr>
        <w:t xml:space="preserve">, </w:t>
      </w:r>
      <w:hyperlink r:id="rId103" w:history="1">
        <w:r w:rsidR="00E43E3F" w:rsidRPr="00740626">
          <w:rPr>
            <w:rStyle w:val="Hyperlink"/>
            <w:szCs w:val="24"/>
          </w:rPr>
          <w:t>https://doi.org/10.1177/17456916231190388</w:t>
        </w:r>
      </w:hyperlink>
      <w:r w:rsidR="00E43E3F">
        <w:rPr>
          <w:szCs w:val="24"/>
        </w:rPr>
        <w:t xml:space="preserve">. </w:t>
      </w:r>
    </w:p>
    <w:p w14:paraId="0841B088" w14:textId="73E80DD3" w:rsidR="007D0715" w:rsidRPr="00192176" w:rsidRDefault="007D0715" w:rsidP="007D0715">
      <w:pPr>
        <w:rPr>
          <w:szCs w:val="24"/>
        </w:rPr>
      </w:pPr>
      <w:r w:rsidRPr="00192176">
        <w:rPr>
          <w:szCs w:val="24"/>
        </w:rPr>
        <w:t>Martens H</w:t>
      </w:r>
      <w:r w:rsidR="00052F07">
        <w:rPr>
          <w:szCs w:val="24"/>
        </w:rPr>
        <w:t xml:space="preserve"> and</w:t>
      </w:r>
      <w:r w:rsidRPr="00192176">
        <w:rPr>
          <w:szCs w:val="24"/>
        </w:rPr>
        <w:t xml:space="preserve"> Hobbs R (2015) ‘How media literacy supports civic engagement in a digital age’, </w:t>
      </w:r>
      <w:r w:rsidRPr="00192176">
        <w:rPr>
          <w:i/>
          <w:iCs/>
          <w:szCs w:val="24"/>
        </w:rPr>
        <w:t>Atlantic Journal of Communication</w:t>
      </w:r>
      <w:r w:rsidRPr="00192176">
        <w:rPr>
          <w:szCs w:val="24"/>
        </w:rPr>
        <w:t xml:space="preserve">, 23(2): 120–137, </w:t>
      </w:r>
      <w:hyperlink r:id="rId104" w:history="1">
        <w:r w:rsidRPr="00192176">
          <w:rPr>
            <w:rStyle w:val="Hyperlink"/>
            <w:szCs w:val="24"/>
          </w:rPr>
          <w:t>https://doi.org/10.1080/15456870.2014.961636</w:t>
        </w:r>
      </w:hyperlink>
      <w:r w:rsidRPr="00192176">
        <w:rPr>
          <w:szCs w:val="24"/>
        </w:rPr>
        <w:t>.</w:t>
      </w:r>
      <w:r>
        <w:rPr>
          <w:szCs w:val="24"/>
        </w:rPr>
        <w:t xml:space="preserve"> </w:t>
      </w:r>
    </w:p>
    <w:p w14:paraId="5B1E172A" w14:textId="00E90BD7" w:rsidR="007D0715" w:rsidRPr="00192176" w:rsidRDefault="007D0715" w:rsidP="007D0715">
      <w:pPr>
        <w:rPr>
          <w:szCs w:val="24"/>
        </w:rPr>
      </w:pPr>
      <w:r w:rsidRPr="00192176">
        <w:rPr>
          <w:szCs w:val="24"/>
        </w:rPr>
        <w:t>McCabe SD, Ferrari D, Green J, Lazer DM</w:t>
      </w:r>
      <w:r w:rsidR="00AB1139">
        <w:rPr>
          <w:szCs w:val="24"/>
        </w:rPr>
        <w:t xml:space="preserve"> and</w:t>
      </w:r>
      <w:r w:rsidRPr="00192176">
        <w:rPr>
          <w:szCs w:val="24"/>
        </w:rPr>
        <w:t xml:space="preserve"> Esterling KM (2024) ‘Post-January 6th deplatforming reduced the reach of misinformation on Twitter’, </w:t>
      </w:r>
      <w:r w:rsidRPr="00192176">
        <w:rPr>
          <w:i/>
          <w:iCs/>
          <w:szCs w:val="24"/>
        </w:rPr>
        <w:t>Nature</w:t>
      </w:r>
      <w:r w:rsidRPr="00192176">
        <w:rPr>
          <w:szCs w:val="24"/>
        </w:rPr>
        <w:t xml:space="preserve">, 630: 132–140, </w:t>
      </w:r>
      <w:hyperlink r:id="rId105" w:history="1">
        <w:r w:rsidRPr="00192176">
          <w:rPr>
            <w:rStyle w:val="Hyperlink"/>
            <w:szCs w:val="24"/>
          </w:rPr>
          <w:t>https://doi.org/10.1038/s41586-024-07524-8</w:t>
        </w:r>
      </w:hyperlink>
      <w:r w:rsidRPr="00192176">
        <w:rPr>
          <w:szCs w:val="24"/>
        </w:rPr>
        <w:t>.</w:t>
      </w:r>
      <w:r>
        <w:rPr>
          <w:szCs w:val="24"/>
        </w:rPr>
        <w:t xml:space="preserve"> </w:t>
      </w:r>
    </w:p>
    <w:p w14:paraId="2C6B8438" w14:textId="318277A3" w:rsidR="007D0715" w:rsidRPr="00192176" w:rsidRDefault="007D0715" w:rsidP="007D0715">
      <w:pPr>
        <w:rPr>
          <w:szCs w:val="24"/>
        </w:rPr>
      </w:pPr>
      <w:r w:rsidRPr="00192176">
        <w:rPr>
          <w:szCs w:val="24"/>
        </w:rPr>
        <w:t>McGrew S</w:t>
      </w:r>
      <w:r w:rsidR="00052F07">
        <w:rPr>
          <w:szCs w:val="24"/>
        </w:rPr>
        <w:t xml:space="preserve"> and</w:t>
      </w:r>
      <w:r w:rsidRPr="00192176">
        <w:rPr>
          <w:szCs w:val="24"/>
        </w:rPr>
        <w:t xml:space="preserve"> Breakstone J (2023) ‘Civic online reasoning across the curriculum: developing and testing the efficacy of digital literacy lessons’, </w:t>
      </w:r>
      <w:r w:rsidRPr="00192176">
        <w:rPr>
          <w:i/>
          <w:iCs/>
          <w:szCs w:val="24"/>
        </w:rPr>
        <w:t>AERA Open</w:t>
      </w:r>
      <w:r w:rsidRPr="00192176">
        <w:rPr>
          <w:szCs w:val="24"/>
        </w:rPr>
        <w:t xml:space="preserve">, 9: 23328584231176451, </w:t>
      </w:r>
      <w:hyperlink r:id="rId106" w:history="1">
        <w:r w:rsidRPr="00192176">
          <w:rPr>
            <w:rStyle w:val="Hyperlink"/>
            <w:szCs w:val="24"/>
          </w:rPr>
          <w:t>https://doi.org/10.1177/23328584231176451</w:t>
        </w:r>
      </w:hyperlink>
      <w:r w:rsidRPr="00192176">
        <w:rPr>
          <w:szCs w:val="24"/>
        </w:rPr>
        <w:t>.</w:t>
      </w:r>
      <w:r>
        <w:rPr>
          <w:szCs w:val="24"/>
        </w:rPr>
        <w:t xml:space="preserve"> </w:t>
      </w:r>
    </w:p>
    <w:p w14:paraId="33BC29A4" w14:textId="0D849F41" w:rsidR="007D0715" w:rsidRPr="00192176" w:rsidRDefault="007D0715" w:rsidP="007D0715">
      <w:pPr>
        <w:rPr>
          <w:szCs w:val="24"/>
        </w:rPr>
      </w:pPr>
      <w:r w:rsidRPr="00192176">
        <w:rPr>
          <w:szCs w:val="24"/>
        </w:rPr>
        <w:t>McGrew S, Smith M, Breakstone J, Ortega T</w:t>
      </w:r>
      <w:r w:rsidR="00AB1139">
        <w:rPr>
          <w:szCs w:val="24"/>
        </w:rPr>
        <w:t xml:space="preserve"> and</w:t>
      </w:r>
      <w:r w:rsidRPr="00192176">
        <w:rPr>
          <w:szCs w:val="24"/>
        </w:rPr>
        <w:t xml:space="preserve"> Wineburg S (2019) ‘Improving university students’ web savvy: an intervention study’, </w:t>
      </w:r>
      <w:r w:rsidRPr="00192176">
        <w:rPr>
          <w:i/>
          <w:iCs/>
          <w:szCs w:val="24"/>
        </w:rPr>
        <w:t>British Journal of Educational Psychology</w:t>
      </w:r>
      <w:r w:rsidRPr="00192176">
        <w:rPr>
          <w:szCs w:val="24"/>
        </w:rPr>
        <w:t xml:space="preserve">, 89(3): 485–500, </w:t>
      </w:r>
      <w:hyperlink r:id="rId107" w:history="1">
        <w:r w:rsidRPr="00192176">
          <w:rPr>
            <w:rStyle w:val="Hyperlink"/>
            <w:szCs w:val="24"/>
          </w:rPr>
          <w:t>https://doi.org/10.1111/bjep.12279</w:t>
        </w:r>
      </w:hyperlink>
      <w:r w:rsidRPr="00192176">
        <w:rPr>
          <w:szCs w:val="24"/>
        </w:rPr>
        <w:t>.</w:t>
      </w:r>
      <w:r>
        <w:rPr>
          <w:szCs w:val="24"/>
        </w:rPr>
        <w:t xml:space="preserve"> </w:t>
      </w:r>
    </w:p>
    <w:p w14:paraId="5496557D" w14:textId="09A02A83" w:rsidR="007D0715" w:rsidRPr="00192176" w:rsidRDefault="007D0715" w:rsidP="007D0715">
      <w:pPr>
        <w:rPr>
          <w:szCs w:val="24"/>
        </w:rPr>
      </w:pPr>
      <w:r w:rsidRPr="00192176">
        <w:rPr>
          <w:szCs w:val="24"/>
        </w:rPr>
        <w:t>Miller C, Smith M, Marsh O, Balint K, Inskip C</w:t>
      </w:r>
      <w:r w:rsidR="00AB1139">
        <w:rPr>
          <w:szCs w:val="24"/>
        </w:rPr>
        <w:t xml:space="preserve"> and</w:t>
      </w:r>
      <w:r w:rsidRPr="00192176">
        <w:rPr>
          <w:szCs w:val="24"/>
        </w:rPr>
        <w:t xml:space="preserve"> Visser F (2022) </w:t>
      </w:r>
      <w:hyperlink r:id="rId108" w:history="1">
        <w:r w:rsidRPr="00F67E0A">
          <w:rPr>
            <w:rStyle w:val="Hyperlink"/>
            <w:i/>
            <w:iCs/>
            <w:szCs w:val="24"/>
          </w:rPr>
          <w:t>Information warfare and Wikipedia</w:t>
        </w:r>
      </w:hyperlink>
      <w:r w:rsidR="00C96D2B">
        <w:rPr>
          <w:szCs w:val="24"/>
        </w:rPr>
        <w:t xml:space="preserve"> [PDF]</w:t>
      </w:r>
      <w:r w:rsidRPr="00192176">
        <w:rPr>
          <w:szCs w:val="24"/>
        </w:rPr>
        <w:t xml:space="preserve">, </w:t>
      </w:r>
      <w:r w:rsidR="00C96D2B">
        <w:rPr>
          <w:szCs w:val="24"/>
        </w:rPr>
        <w:t>Institute for Strategic Dialogue</w:t>
      </w:r>
      <w:r w:rsidRPr="00192176">
        <w:rPr>
          <w:szCs w:val="24"/>
        </w:rPr>
        <w:t>.</w:t>
      </w:r>
    </w:p>
    <w:p w14:paraId="265A7F3E" w14:textId="5B1C2DE6" w:rsidR="007D0715" w:rsidRPr="00192176" w:rsidRDefault="007D0715" w:rsidP="007D0715">
      <w:pPr>
        <w:rPr>
          <w:szCs w:val="24"/>
        </w:rPr>
      </w:pPr>
      <w:proofErr w:type="spellStart"/>
      <w:r w:rsidRPr="00192176">
        <w:rPr>
          <w:szCs w:val="24"/>
        </w:rPr>
        <w:t>Modirrousta</w:t>
      </w:r>
      <w:proofErr w:type="spellEnd"/>
      <w:r w:rsidRPr="00192176">
        <w:rPr>
          <w:szCs w:val="24"/>
        </w:rPr>
        <w:t>-Galian A</w:t>
      </w:r>
      <w:r w:rsidR="00052F07">
        <w:rPr>
          <w:szCs w:val="24"/>
        </w:rPr>
        <w:t xml:space="preserve"> and</w:t>
      </w:r>
      <w:r w:rsidRPr="00192176">
        <w:rPr>
          <w:szCs w:val="24"/>
        </w:rPr>
        <w:t xml:space="preserve"> Higham PA (2023) ‘Gamified inoculation interventions do not improve discrimination between true and fake news: reanalysing existing research with receiver operating characteristic analysis’, </w:t>
      </w:r>
      <w:r w:rsidRPr="00192176">
        <w:rPr>
          <w:i/>
          <w:iCs/>
          <w:szCs w:val="24"/>
        </w:rPr>
        <w:t>Journal of Experimental Psychology: General</w:t>
      </w:r>
      <w:r w:rsidRPr="00192176">
        <w:rPr>
          <w:szCs w:val="24"/>
        </w:rPr>
        <w:t>, 152(9): 2411</w:t>
      </w:r>
      <w:r w:rsidR="00DC71D5">
        <w:rPr>
          <w:szCs w:val="24"/>
        </w:rPr>
        <w:t>-2437</w:t>
      </w:r>
      <w:r w:rsidRPr="00192176">
        <w:rPr>
          <w:szCs w:val="24"/>
        </w:rPr>
        <w:t xml:space="preserve">, </w:t>
      </w:r>
      <w:hyperlink r:id="rId109" w:history="1">
        <w:r w:rsidRPr="00192176">
          <w:rPr>
            <w:rStyle w:val="Hyperlink"/>
            <w:szCs w:val="24"/>
          </w:rPr>
          <w:t>https://doi.org/10.1037/xge0001395</w:t>
        </w:r>
      </w:hyperlink>
      <w:r w:rsidRPr="00192176">
        <w:rPr>
          <w:szCs w:val="24"/>
        </w:rPr>
        <w:t>.</w:t>
      </w:r>
      <w:r>
        <w:rPr>
          <w:szCs w:val="24"/>
        </w:rPr>
        <w:t xml:space="preserve"> </w:t>
      </w:r>
    </w:p>
    <w:p w14:paraId="78D03766" w14:textId="6ACEB04C" w:rsidR="007D0715" w:rsidRPr="00192176" w:rsidRDefault="007D0715" w:rsidP="007D0715">
      <w:pPr>
        <w:rPr>
          <w:szCs w:val="24"/>
        </w:rPr>
      </w:pPr>
      <w:r w:rsidRPr="00192176">
        <w:rPr>
          <w:szCs w:val="24"/>
        </w:rPr>
        <w:t>Moore RC</w:t>
      </w:r>
      <w:r w:rsidR="00052F07">
        <w:rPr>
          <w:szCs w:val="24"/>
        </w:rPr>
        <w:t xml:space="preserve"> and</w:t>
      </w:r>
      <w:r w:rsidRPr="00192176">
        <w:rPr>
          <w:szCs w:val="24"/>
        </w:rPr>
        <w:t xml:space="preserve"> Hancock JT (2022) ‘A digital media literacy intervention for older adults improves resilience to fake news’, </w:t>
      </w:r>
      <w:r w:rsidRPr="00192176">
        <w:rPr>
          <w:i/>
          <w:iCs/>
          <w:szCs w:val="24"/>
        </w:rPr>
        <w:t>Scientific Reports</w:t>
      </w:r>
      <w:r w:rsidRPr="00192176">
        <w:rPr>
          <w:szCs w:val="24"/>
        </w:rPr>
        <w:t xml:space="preserve">, 12: 6008, </w:t>
      </w:r>
      <w:hyperlink r:id="rId110" w:history="1">
        <w:r w:rsidRPr="00192176">
          <w:rPr>
            <w:rStyle w:val="Hyperlink"/>
            <w:szCs w:val="24"/>
          </w:rPr>
          <w:t>https://doi.org/10.1038/s41598-022-08437-0</w:t>
        </w:r>
      </w:hyperlink>
      <w:r w:rsidRPr="00192176">
        <w:rPr>
          <w:szCs w:val="24"/>
        </w:rPr>
        <w:t>.</w:t>
      </w:r>
      <w:r>
        <w:rPr>
          <w:szCs w:val="24"/>
        </w:rPr>
        <w:t xml:space="preserve"> </w:t>
      </w:r>
    </w:p>
    <w:p w14:paraId="66EA4800" w14:textId="77777777" w:rsidR="007D0715" w:rsidRPr="00192176" w:rsidRDefault="007D0715" w:rsidP="007D0715">
      <w:pPr>
        <w:rPr>
          <w:szCs w:val="24"/>
        </w:rPr>
      </w:pPr>
      <w:r w:rsidRPr="00192176">
        <w:rPr>
          <w:szCs w:val="24"/>
        </w:rPr>
        <w:t xml:space="preserve">Munger K (2023) ‘Temporal validity as meta-science’, </w:t>
      </w:r>
      <w:r w:rsidRPr="00192176">
        <w:rPr>
          <w:i/>
          <w:iCs/>
          <w:szCs w:val="24"/>
        </w:rPr>
        <w:t>Research and Politics</w:t>
      </w:r>
      <w:r w:rsidRPr="00192176">
        <w:rPr>
          <w:szCs w:val="24"/>
        </w:rPr>
        <w:t xml:space="preserve">, 10(3): 20531680231187271, </w:t>
      </w:r>
      <w:hyperlink r:id="rId111" w:history="1">
        <w:r w:rsidRPr="00192176">
          <w:rPr>
            <w:rStyle w:val="Hyperlink"/>
            <w:szCs w:val="24"/>
          </w:rPr>
          <w:t>https://doi.org/10.1177/20531680231187271</w:t>
        </w:r>
      </w:hyperlink>
      <w:r w:rsidRPr="00192176">
        <w:rPr>
          <w:szCs w:val="24"/>
        </w:rPr>
        <w:t>.</w:t>
      </w:r>
      <w:r>
        <w:rPr>
          <w:szCs w:val="24"/>
        </w:rPr>
        <w:t xml:space="preserve"> </w:t>
      </w:r>
    </w:p>
    <w:p w14:paraId="44D92342" w14:textId="1AE99B4E" w:rsidR="007D0715" w:rsidRPr="00192176" w:rsidRDefault="007D0715" w:rsidP="007D0715">
      <w:pPr>
        <w:rPr>
          <w:szCs w:val="24"/>
        </w:rPr>
      </w:pPr>
      <w:r w:rsidRPr="005A024A">
        <w:rPr>
          <w:szCs w:val="24"/>
        </w:rPr>
        <w:t>Murrock E</w:t>
      </w:r>
      <w:r w:rsidR="00870F47" w:rsidRPr="005A024A">
        <w:rPr>
          <w:szCs w:val="24"/>
        </w:rPr>
        <w:t xml:space="preserve">, Amulya J, Druckman M, </w:t>
      </w:r>
      <w:proofErr w:type="spellStart"/>
      <w:r w:rsidR="00870F47" w:rsidRPr="005A024A">
        <w:rPr>
          <w:szCs w:val="24"/>
        </w:rPr>
        <w:t>Liubyva</w:t>
      </w:r>
      <w:proofErr w:type="spellEnd"/>
      <w:r w:rsidR="00870F47" w:rsidRPr="005A024A">
        <w:rPr>
          <w:szCs w:val="24"/>
        </w:rPr>
        <w:t xml:space="preserve"> T</w:t>
      </w:r>
      <w:r w:rsidRPr="005A024A">
        <w:rPr>
          <w:szCs w:val="24"/>
        </w:rPr>
        <w:t xml:space="preserve"> (2018) ‘Winning the war on state-sponsored propaganda: results from an impact study of a Ukrainian news media and information literacy program’, </w:t>
      </w:r>
      <w:r w:rsidRPr="005A024A">
        <w:rPr>
          <w:i/>
          <w:iCs/>
          <w:szCs w:val="24"/>
        </w:rPr>
        <w:t>Journal of Media Literacy Education</w:t>
      </w:r>
      <w:r w:rsidRPr="005A024A">
        <w:rPr>
          <w:szCs w:val="24"/>
        </w:rPr>
        <w:t>, 10(2): 53–85</w:t>
      </w:r>
      <w:r w:rsidR="00870F47" w:rsidRPr="005A024A">
        <w:rPr>
          <w:szCs w:val="24"/>
        </w:rPr>
        <w:t>,</w:t>
      </w:r>
      <w:r w:rsidR="00870F47">
        <w:rPr>
          <w:szCs w:val="24"/>
        </w:rPr>
        <w:t xml:space="preserve"> </w:t>
      </w:r>
      <w:hyperlink r:id="rId112" w:history="1">
        <w:r w:rsidR="00870F47" w:rsidRPr="00740626">
          <w:rPr>
            <w:rStyle w:val="Hyperlink"/>
            <w:szCs w:val="24"/>
          </w:rPr>
          <w:t>https://doi.org/10.23860/JMLE-2018-10-2-4</w:t>
        </w:r>
      </w:hyperlink>
      <w:r w:rsidR="00870F47">
        <w:rPr>
          <w:szCs w:val="24"/>
        </w:rPr>
        <w:t xml:space="preserve">. </w:t>
      </w:r>
    </w:p>
    <w:p w14:paraId="592A6D19" w14:textId="025C78F0" w:rsidR="007D0715" w:rsidRPr="00192176" w:rsidRDefault="007D0715" w:rsidP="007D0715">
      <w:pPr>
        <w:rPr>
          <w:szCs w:val="24"/>
        </w:rPr>
      </w:pPr>
      <w:r w:rsidRPr="00192176">
        <w:rPr>
          <w:szCs w:val="24"/>
        </w:rPr>
        <w:t>Nadkarni NM, Weber CQ, Goldman SV, Schatz DL, Allen S</w:t>
      </w:r>
      <w:r w:rsidR="00AB1139">
        <w:rPr>
          <w:szCs w:val="24"/>
        </w:rPr>
        <w:t xml:space="preserve"> and</w:t>
      </w:r>
      <w:r w:rsidRPr="00192176">
        <w:rPr>
          <w:szCs w:val="24"/>
        </w:rPr>
        <w:t xml:space="preserve"> Menlove R (2019) ‘Beyond the deficit model: the ambassador approach to public engagement’, </w:t>
      </w:r>
      <w:proofErr w:type="spellStart"/>
      <w:r w:rsidRPr="00192176">
        <w:rPr>
          <w:i/>
          <w:iCs/>
          <w:szCs w:val="24"/>
        </w:rPr>
        <w:t>BioScience</w:t>
      </w:r>
      <w:proofErr w:type="spellEnd"/>
      <w:r w:rsidRPr="00192176">
        <w:rPr>
          <w:szCs w:val="24"/>
        </w:rPr>
        <w:t xml:space="preserve">, 69(4): 305–313, </w:t>
      </w:r>
      <w:hyperlink r:id="rId113" w:history="1">
        <w:r w:rsidRPr="00192176">
          <w:rPr>
            <w:rStyle w:val="Hyperlink"/>
            <w:szCs w:val="24"/>
          </w:rPr>
          <w:t>https://doi.org/10.1093/biosci/biz018</w:t>
        </w:r>
      </w:hyperlink>
      <w:r w:rsidRPr="00192176">
        <w:rPr>
          <w:szCs w:val="24"/>
        </w:rPr>
        <w:t>.</w:t>
      </w:r>
      <w:r>
        <w:rPr>
          <w:szCs w:val="24"/>
        </w:rPr>
        <w:t xml:space="preserve"> </w:t>
      </w:r>
    </w:p>
    <w:p w14:paraId="4BA834EB" w14:textId="750B06C9" w:rsidR="007D0715" w:rsidRPr="00192176" w:rsidRDefault="007D0715" w:rsidP="007D0715">
      <w:pPr>
        <w:rPr>
          <w:szCs w:val="24"/>
        </w:rPr>
      </w:pPr>
      <w:proofErr w:type="spellStart"/>
      <w:r w:rsidRPr="00192176">
        <w:rPr>
          <w:szCs w:val="24"/>
        </w:rPr>
        <w:t>Nettlefold</w:t>
      </w:r>
      <w:proofErr w:type="spellEnd"/>
      <w:r w:rsidRPr="00192176">
        <w:rPr>
          <w:szCs w:val="24"/>
        </w:rPr>
        <w:t xml:space="preserve"> J</w:t>
      </w:r>
      <w:r w:rsidR="00E35D2B">
        <w:rPr>
          <w:szCs w:val="24"/>
        </w:rPr>
        <w:t xml:space="preserve"> and</w:t>
      </w:r>
      <w:r w:rsidRPr="00192176">
        <w:rPr>
          <w:szCs w:val="24"/>
        </w:rPr>
        <w:t xml:space="preserve"> Williams K (2018) </w:t>
      </w:r>
      <w:hyperlink r:id="rId114" w:history="1">
        <w:r w:rsidRPr="00420F39">
          <w:rPr>
            <w:rStyle w:val="Hyperlink"/>
            <w:i/>
            <w:iCs/>
            <w:szCs w:val="24"/>
          </w:rPr>
          <w:t>Insight five: a snapshot of media literacy in Australian schools</w:t>
        </w:r>
      </w:hyperlink>
      <w:r w:rsidRPr="00192176">
        <w:rPr>
          <w:szCs w:val="24"/>
        </w:rPr>
        <w:t>, University of Tasmania</w:t>
      </w:r>
      <w:r w:rsidR="00420F39">
        <w:rPr>
          <w:szCs w:val="24"/>
        </w:rPr>
        <w:t>.</w:t>
      </w:r>
      <w:r>
        <w:rPr>
          <w:szCs w:val="24"/>
        </w:rPr>
        <w:t xml:space="preserve"> </w:t>
      </w:r>
    </w:p>
    <w:p w14:paraId="0F02F73D" w14:textId="5ED487D1" w:rsidR="007D0715" w:rsidRPr="00192176" w:rsidRDefault="007D0715" w:rsidP="007D0715">
      <w:pPr>
        <w:rPr>
          <w:szCs w:val="24"/>
        </w:rPr>
      </w:pPr>
      <w:r w:rsidRPr="00192176">
        <w:rPr>
          <w:szCs w:val="24"/>
        </w:rPr>
        <w:t>Notley T, Chambers S, Park S</w:t>
      </w:r>
      <w:r w:rsidR="00AB1139">
        <w:rPr>
          <w:szCs w:val="24"/>
        </w:rPr>
        <w:t xml:space="preserve"> and</w:t>
      </w:r>
      <w:r w:rsidRPr="00192176">
        <w:rPr>
          <w:szCs w:val="24"/>
        </w:rPr>
        <w:t xml:space="preserve"> </w:t>
      </w:r>
      <w:proofErr w:type="spellStart"/>
      <w:r w:rsidRPr="00192176">
        <w:rPr>
          <w:szCs w:val="24"/>
        </w:rPr>
        <w:t>Dezuanni</w:t>
      </w:r>
      <w:proofErr w:type="spellEnd"/>
      <w:r w:rsidRPr="00192176">
        <w:rPr>
          <w:szCs w:val="24"/>
        </w:rPr>
        <w:t xml:space="preserve"> M (2024) </w:t>
      </w:r>
      <w:r w:rsidRPr="00192176">
        <w:rPr>
          <w:i/>
          <w:iCs/>
          <w:szCs w:val="24"/>
        </w:rPr>
        <w:t>Adult media literacy in 2024: Australian attitudes, experiences and needs</w:t>
      </w:r>
      <w:r w:rsidRPr="00192176">
        <w:rPr>
          <w:szCs w:val="24"/>
        </w:rPr>
        <w:t>,</w:t>
      </w:r>
      <w:r>
        <w:rPr>
          <w:szCs w:val="24"/>
        </w:rPr>
        <w:t xml:space="preserve"> </w:t>
      </w:r>
      <w:r w:rsidRPr="003D0D4F">
        <w:rPr>
          <w:szCs w:val="24"/>
        </w:rPr>
        <w:t>Western Sydney University, Queensland University of Technology and University of Canberra</w:t>
      </w:r>
      <w:r>
        <w:rPr>
          <w:szCs w:val="24"/>
        </w:rPr>
        <w:t>,</w:t>
      </w:r>
      <w:r w:rsidRPr="00192176">
        <w:rPr>
          <w:szCs w:val="24"/>
        </w:rPr>
        <w:t xml:space="preserve"> </w:t>
      </w:r>
      <w:hyperlink r:id="rId115" w:history="1">
        <w:r w:rsidRPr="00192176">
          <w:rPr>
            <w:rStyle w:val="Hyperlink"/>
            <w:szCs w:val="24"/>
          </w:rPr>
          <w:t>https://doi.org/10.60836/n1a2-dv63</w:t>
        </w:r>
      </w:hyperlink>
      <w:r w:rsidRPr="00192176">
        <w:rPr>
          <w:szCs w:val="24"/>
        </w:rPr>
        <w:t>.</w:t>
      </w:r>
      <w:r>
        <w:rPr>
          <w:szCs w:val="24"/>
        </w:rPr>
        <w:t xml:space="preserve"> </w:t>
      </w:r>
    </w:p>
    <w:p w14:paraId="7FD386CB" w14:textId="4D998251" w:rsidR="007D0715" w:rsidRPr="00192176" w:rsidRDefault="007D0715" w:rsidP="007D0715">
      <w:pPr>
        <w:rPr>
          <w:szCs w:val="24"/>
        </w:rPr>
      </w:pPr>
      <w:r w:rsidRPr="00192176">
        <w:rPr>
          <w:szCs w:val="24"/>
        </w:rPr>
        <w:t>Notley T, Chambers S, Zhong HF, Park S, Lee J</w:t>
      </w:r>
      <w:r w:rsidR="00AB1139">
        <w:rPr>
          <w:szCs w:val="24"/>
        </w:rPr>
        <w:t xml:space="preserve"> and</w:t>
      </w:r>
      <w:r w:rsidRPr="00192176">
        <w:rPr>
          <w:szCs w:val="24"/>
        </w:rPr>
        <w:t xml:space="preserve"> </w:t>
      </w:r>
      <w:proofErr w:type="spellStart"/>
      <w:r w:rsidRPr="00192176">
        <w:rPr>
          <w:szCs w:val="24"/>
        </w:rPr>
        <w:t>Dezuanni</w:t>
      </w:r>
      <w:proofErr w:type="spellEnd"/>
      <w:r w:rsidRPr="00192176">
        <w:rPr>
          <w:szCs w:val="24"/>
        </w:rPr>
        <w:t xml:space="preserve"> M (2023) </w:t>
      </w:r>
      <w:hyperlink r:id="rId116" w:history="1">
        <w:r w:rsidRPr="00192176">
          <w:rPr>
            <w:rStyle w:val="Hyperlink"/>
            <w:i/>
            <w:iCs/>
            <w:szCs w:val="24"/>
          </w:rPr>
          <w:t>News and young Australians in 2023: how children and teens access, perceive and are affected by news media</w:t>
        </w:r>
      </w:hyperlink>
      <w:r w:rsidRPr="00192176">
        <w:rPr>
          <w:szCs w:val="24"/>
        </w:rPr>
        <w:t>, Research Report</w:t>
      </w:r>
      <w:r>
        <w:rPr>
          <w:szCs w:val="24"/>
        </w:rPr>
        <w:t>,</w:t>
      </w:r>
      <w:r w:rsidRPr="00192176">
        <w:rPr>
          <w:szCs w:val="24"/>
        </w:rPr>
        <w:t xml:space="preserve"> Western Sydney University</w:t>
      </w:r>
      <w:r>
        <w:rPr>
          <w:szCs w:val="24"/>
        </w:rPr>
        <w:t>.</w:t>
      </w:r>
    </w:p>
    <w:p w14:paraId="70E71D51" w14:textId="5CD08C36" w:rsidR="007D0715" w:rsidRPr="00192176" w:rsidRDefault="007D0715" w:rsidP="007D0715">
      <w:pPr>
        <w:rPr>
          <w:szCs w:val="24"/>
        </w:rPr>
      </w:pPr>
      <w:r w:rsidRPr="00192176">
        <w:rPr>
          <w:szCs w:val="24"/>
        </w:rPr>
        <w:t>Nygren T, Al-Afifi M</w:t>
      </w:r>
      <w:r w:rsidR="00AB1139">
        <w:rPr>
          <w:szCs w:val="24"/>
        </w:rPr>
        <w:t xml:space="preserve"> and</w:t>
      </w:r>
      <w:r w:rsidRPr="00192176">
        <w:rPr>
          <w:szCs w:val="24"/>
        </w:rPr>
        <w:t xml:space="preserve"> Axelsson CW (2024) ‘Boosting teenagers’ skills to fact-check photos and problems of overconfidence: impact and side effects in education against misinformation from Ukraine’, </w:t>
      </w:r>
      <w:proofErr w:type="spellStart"/>
      <w:r w:rsidRPr="00192176">
        <w:rPr>
          <w:i/>
          <w:iCs/>
          <w:szCs w:val="24"/>
        </w:rPr>
        <w:t>PsyArXiv</w:t>
      </w:r>
      <w:proofErr w:type="spellEnd"/>
      <w:r w:rsidRPr="00192176">
        <w:rPr>
          <w:szCs w:val="24"/>
        </w:rPr>
        <w:t xml:space="preserve">, </w:t>
      </w:r>
      <w:hyperlink r:id="rId117" w:history="1">
        <w:r w:rsidRPr="00192176">
          <w:rPr>
            <w:rStyle w:val="Hyperlink"/>
            <w:szCs w:val="24"/>
          </w:rPr>
          <w:t>https://doi.org/10.31219/osf.io/dnbz9</w:t>
        </w:r>
      </w:hyperlink>
      <w:r w:rsidRPr="00192176">
        <w:rPr>
          <w:szCs w:val="24"/>
        </w:rPr>
        <w:t>.</w:t>
      </w:r>
      <w:r>
        <w:rPr>
          <w:szCs w:val="24"/>
        </w:rPr>
        <w:t xml:space="preserve"> </w:t>
      </w:r>
    </w:p>
    <w:p w14:paraId="6D5CAB21" w14:textId="59A80705" w:rsidR="007D0715" w:rsidRPr="00192176" w:rsidRDefault="007D0715" w:rsidP="007D0715">
      <w:pPr>
        <w:rPr>
          <w:szCs w:val="24"/>
        </w:rPr>
      </w:pPr>
      <w:r w:rsidRPr="00192176">
        <w:rPr>
          <w:szCs w:val="24"/>
        </w:rPr>
        <w:t xml:space="preserve">Nygren T, </w:t>
      </w:r>
      <w:proofErr w:type="spellStart"/>
      <w:r w:rsidRPr="00192176">
        <w:rPr>
          <w:szCs w:val="24"/>
        </w:rPr>
        <w:t>Guath</w:t>
      </w:r>
      <w:proofErr w:type="spellEnd"/>
      <w:r w:rsidRPr="00192176">
        <w:rPr>
          <w:szCs w:val="24"/>
        </w:rPr>
        <w:t xml:space="preserve"> M, Axelsson CAW</w:t>
      </w:r>
      <w:r w:rsidR="00AB1139">
        <w:rPr>
          <w:szCs w:val="24"/>
        </w:rPr>
        <w:t xml:space="preserve"> and</w:t>
      </w:r>
      <w:r w:rsidRPr="00192176">
        <w:rPr>
          <w:szCs w:val="24"/>
        </w:rPr>
        <w:t xml:space="preserve"> Frau-Meigs D (2021) ‘Combatting visual fake news with a professional fact-checking tool in education in France, Romania, Spain and Sweden’, </w:t>
      </w:r>
      <w:r w:rsidRPr="00192176">
        <w:rPr>
          <w:i/>
          <w:iCs/>
          <w:szCs w:val="24"/>
        </w:rPr>
        <w:t>Information</w:t>
      </w:r>
      <w:r w:rsidRPr="00192176">
        <w:rPr>
          <w:szCs w:val="24"/>
        </w:rPr>
        <w:t xml:space="preserve">, 12(5): 201, </w:t>
      </w:r>
      <w:hyperlink r:id="rId118" w:history="1">
        <w:r w:rsidRPr="00192176">
          <w:rPr>
            <w:rStyle w:val="Hyperlink"/>
            <w:szCs w:val="24"/>
          </w:rPr>
          <w:t>https://doi.org/10.3390/info12050201</w:t>
        </w:r>
      </w:hyperlink>
      <w:r w:rsidRPr="00192176">
        <w:rPr>
          <w:szCs w:val="24"/>
        </w:rPr>
        <w:t>.</w:t>
      </w:r>
      <w:r>
        <w:rPr>
          <w:szCs w:val="24"/>
        </w:rPr>
        <w:t xml:space="preserve"> </w:t>
      </w:r>
    </w:p>
    <w:p w14:paraId="361E6E40" w14:textId="77777777" w:rsidR="005676A5" w:rsidRPr="00192176" w:rsidRDefault="005676A5" w:rsidP="005676A5">
      <w:pPr>
        <w:rPr>
          <w:szCs w:val="24"/>
        </w:rPr>
      </w:pPr>
      <w:r w:rsidRPr="00C85651">
        <w:rPr>
          <w:szCs w:val="24"/>
        </w:rPr>
        <w:t>Nygren T, Spearing ER, Fay</w:t>
      </w:r>
      <w:r>
        <w:rPr>
          <w:szCs w:val="24"/>
        </w:rPr>
        <w:t xml:space="preserve"> </w:t>
      </w:r>
      <w:r w:rsidRPr="00C85651">
        <w:rPr>
          <w:szCs w:val="24"/>
        </w:rPr>
        <w:t xml:space="preserve">N, Vega D, Hardwick I </w:t>
      </w:r>
      <w:proofErr w:type="spellStart"/>
      <w:r w:rsidRPr="00C85651">
        <w:rPr>
          <w:szCs w:val="24"/>
        </w:rPr>
        <w:t>I</w:t>
      </w:r>
      <w:proofErr w:type="spellEnd"/>
      <w:r w:rsidRPr="00C85651">
        <w:rPr>
          <w:szCs w:val="24"/>
        </w:rPr>
        <w:t xml:space="preserve">, </w:t>
      </w:r>
      <w:proofErr w:type="spellStart"/>
      <w:r w:rsidRPr="00C85651">
        <w:rPr>
          <w:szCs w:val="24"/>
        </w:rPr>
        <w:t>Roozenbeek</w:t>
      </w:r>
      <w:proofErr w:type="spellEnd"/>
      <w:r w:rsidRPr="00C85651">
        <w:rPr>
          <w:szCs w:val="24"/>
        </w:rPr>
        <w:t xml:space="preserve"> J</w:t>
      </w:r>
      <w:r>
        <w:rPr>
          <w:szCs w:val="24"/>
        </w:rPr>
        <w:t xml:space="preserve"> and</w:t>
      </w:r>
      <w:r w:rsidRPr="00C85651">
        <w:rPr>
          <w:szCs w:val="24"/>
        </w:rPr>
        <w:t xml:space="preserve"> Ecker U K H (2026) </w:t>
      </w:r>
      <w:r>
        <w:rPr>
          <w:szCs w:val="24"/>
        </w:rPr>
        <w:t>‘</w:t>
      </w:r>
      <w:r w:rsidRPr="00C85651">
        <w:rPr>
          <w:szCs w:val="24"/>
        </w:rPr>
        <w:t>The seven roles of generative AI: Potential &amp; pitfalls in combatting misinformation</w:t>
      </w:r>
      <w:r>
        <w:rPr>
          <w:szCs w:val="24"/>
        </w:rPr>
        <w:t>’</w:t>
      </w:r>
      <w:r w:rsidRPr="00C85651">
        <w:rPr>
          <w:szCs w:val="24"/>
        </w:rPr>
        <w:t xml:space="preserve"> </w:t>
      </w:r>
      <w:proofErr w:type="spellStart"/>
      <w:r w:rsidRPr="009B02B0">
        <w:rPr>
          <w:i/>
          <w:iCs/>
          <w:szCs w:val="24"/>
        </w:rPr>
        <w:t>Behavioral</w:t>
      </w:r>
      <w:proofErr w:type="spellEnd"/>
      <w:r w:rsidRPr="009B02B0">
        <w:rPr>
          <w:i/>
          <w:iCs/>
          <w:szCs w:val="24"/>
        </w:rPr>
        <w:t xml:space="preserve"> Science &amp; Policy</w:t>
      </w:r>
      <w:r w:rsidRPr="00C85651">
        <w:rPr>
          <w:szCs w:val="24"/>
        </w:rPr>
        <w:t>, 0(0)</w:t>
      </w:r>
      <w:r>
        <w:rPr>
          <w:szCs w:val="24"/>
        </w:rPr>
        <w:t>,</w:t>
      </w:r>
      <w:r w:rsidRPr="00C85651">
        <w:rPr>
          <w:szCs w:val="24"/>
        </w:rPr>
        <w:t xml:space="preserve"> </w:t>
      </w:r>
      <w:hyperlink r:id="rId119" w:history="1">
        <w:r w:rsidRPr="007A4B83">
          <w:rPr>
            <w:rStyle w:val="Hyperlink"/>
            <w:szCs w:val="24"/>
          </w:rPr>
          <w:t>https://doi.org/10.1177/23794607261417815</w:t>
        </w:r>
      </w:hyperlink>
      <w:r w:rsidRPr="007A4B83">
        <w:rPr>
          <w:rStyle w:val="Hyperlink"/>
        </w:rPr>
        <w:t>.</w:t>
      </w:r>
      <w:r>
        <w:rPr>
          <w:szCs w:val="24"/>
        </w:rPr>
        <w:t xml:space="preserve"> </w:t>
      </w:r>
    </w:p>
    <w:p w14:paraId="72AC8E6A" w14:textId="261ADFBC" w:rsidR="007D0715" w:rsidRPr="00192176" w:rsidRDefault="007D0715" w:rsidP="007D0715">
      <w:pPr>
        <w:rPr>
          <w:szCs w:val="24"/>
        </w:rPr>
      </w:pPr>
      <w:r w:rsidRPr="00192176">
        <w:rPr>
          <w:szCs w:val="24"/>
        </w:rPr>
        <w:t>O’Neil M, Cunneen R</w:t>
      </w:r>
      <w:r w:rsidR="00AB1139">
        <w:rPr>
          <w:szCs w:val="24"/>
        </w:rPr>
        <w:t xml:space="preserve"> and</w:t>
      </w:r>
      <w:r w:rsidRPr="00192176">
        <w:rPr>
          <w:szCs w:val="24"/>
        </w:rPr>
        <w:t xml:space="preserve"> Deas M (2025) ‘A remedy for epistemic pollution? public and professional reactions to fact-checking with Wikipedia in Australian classrooms’, in Song</w:t>
      </w:r>
      <w:r w:rsidR="0035236B" w:rsidRPr="0035236B">
        <w:rPr>
          <w:szCs w:val="24"/>
        </w:rPr>
        <w:t xml:space="preserve"> </w:t>
      </w:r>
      <w:r w:rsidR="0035236B" w:rsidRPr="00192176">
        <w:rPr>
          <w:szCs w:val="24"/>
        </w:rPr>
        <w:t>CY</w:t>
      </w:r>
      <w:r w:rsidRPr="00192176">
        <w:rPr>
          <w:szCs w:val="24"/>
        </w:rPr>
        <w:t xml:space="preserve">, </w:t>
      </w:r>
      <w:proofErr w:type="spellStart"/>
      <w:r w:rsidRPr="00192176">
        <w:rPr>
          <w:szCs w:val="24"/>
        </w:rPr>
        <w:t>Thussu</w:t>
      </w:r>
      <w:proofErr w:type="spellEnd"/>
      <w:r w:rsidR="0035236B" w:rsidRPr="0035236B">
        <w:rPr>
          <w:szCs w:val="24"/>
        </w:rPr>
        <w:t xml:space="preserve"> </w:t>
      </w:r>
      <w:r w:rsidR="0035236B" w:rsidRPr="00192176">
        <w:rPr>
          <w:szCs w:val="24"/>
        </w:rPr>
        <w:t>D</w:t>
      </w:r>
      <w:r w:rsidR="0035236B">
        <w:rPr>
          <w:szCs w:val="24"/>
        </w:rPr>
        <w:t xml:space="preserve"> and</w:t>
      </w:r>
      <w:r w:rsidRPr="00192176">
        <w:rPr>
          <w:szCs w:val="24"/>
        </w:rPr>
        <w:t xml:space="preserve"> Margolin </w:t>
      </w:r>
      <w:r w:rsidR="0035236B" w:rsidRPr="00192176">
        <w:rPr>
          <w:szCs w:val="24"/>
        </w:rPr>
        <w:t xml:space="preserve">D </w:t>
      </w:r>
      <w:r w:rsidRPr="00192176">
        <w:rPr>
          <w:szCs w:val="24"/>
        </w:rPr>
        <w:t xml:space="preserve">(eds), </w:t>
      </w:r>
      <w:r w:rsidRPr="00192176">
        <w:rPr>
          <w:i/>
          <w:iCs/>
          <w:szCs w:val="24"/>
        </w:rPr>
        <w:t>Checking the factcheckers: a global perspective</w:t>
      </w:r>
      <w:r w:rsidRPr="00192176">
        <w:rPr>
          <w:szCs w:val="24"/>
        </w:rPr>
        <w:t>, Advances in Internationalizing Media Studies, Routledge.</w:t>
      </w:r>
    </w:p>
    <w:p w14:paraId="60E06873" w14:textId="7741A786" w:rsidR="007D0715" w:rsidRPr="00192176" w:rsidRDefault="007D0715" w:rsidP="007D0715">
      <w:pPr>
        <w:rPr>
          <w:szCs w:val="24"/>
        </w:rPr>
      </w:pPr>
      <w:r w:rsidRPr="00192176">
        <w:rPr>
          <w:szCs w:val="24"/>
        </w:rPr>
        <w:t>O’Neil M, Heppner H</w:t>
      </w:r>
      <w:r w:rsidR="00AB1139">
        <w:rPr>
          <w:szCs w:val="24"/>
        </w:rPr>
        <w:t xml:space="preserve"> and</w:t>
      </w:r>
      <w:r w:rsidRPr="00192176">
        <w:rPr>
          <w:szCs w:val="24"/>
        </w:rPr>
        <w:t xml:space="preserve"> Ross A (2024) </w:t>
      </w:r>
      <w:r w:rsidRPr="00192176">
        <w:rPr>
          <w:i/>
          <w:iCs/>
          <w:szCs w:val="24"/>
        </w:rPr>
        <w:t>Civic information literacy tools</w:t>
      </w:r>
      <w:r w:rsidRPr="00192176">
        <w:rPr>
          <w:szCs w:val="24"/>
        </w:rPr>
        <w:t xml:space="preserve">, DCPC/NMRC, University of Canberra, </w:t>
      </w:r>
      <w:hyperlink r:id="rId120" w:history="1">
        <w:r w:rsidRPr="00192176">
          <w:rPr>
            <w:rStyle w:val="Hyperlink"/>
            <w:szCs w:val="24"/>
          </w:rPr>
          <w:t>https://doi.org/10.60836/smyk-8669</w:t>
        </w:r>
      </w:hyperlink>
      <w:r w:rsidRPr="00192176">
        <w:rPr>
          <w:szCs w:val="24"/>
        </w:rPr>
        <w:t>.</w:t>
      </w:r>
      <w:r>
        <w:rPr>
          <w:szCs w:val="24"/>
        </w:rPr>
        <w:t xml:space="preserve"> </w:t>
      </w:r>
    </w:p>
    <w:p w14:paraId="1C13EC01" w14:textId="77777777" w:rsidR="007D0715" w:rsidRPr="00192176" w:rsidRDefault="007D0715" w:rsidP="007D0715">
      <w:pPr>
        <w:rPr>
          <w:szCs w:val="24"/>
        </w:rPr>
      </w:pPr>
      <w:r w:rsidRPr="00192176">
        <w:rPr>
          <w:szCs w:val="24"/>
        </w:rPr>
        <w:t>Osborne J</w:t>
      </w:r>
      <w:r>
        <w:rPr>
          <w:szCs w:val="24"/>
        </w:rPr>
        <w:t xml:space="preserve"> and</w:t>
      </w:r>
      <w:r w:rsidRPr="00192176">
        <w:rPr>
          <w:szCs w:val="24"/>
        </w:rPr>
        <w:t xml:space="preserve"> Allchin D (2024) ‘Science literacy in the twenty-first century: informed trust and the competent outsider’, </w:t>
      </w:r>
      <w:r w:rsidRPr="00192176">
        <w:rPr>
          <w:i/>
          <w:iCs/>
          <w:szCs w:val="24"/>
        </w:rPr>
        <w:t>International Journal of Science Education</w:t>
      </w:r>
      <w:r w:rsidRPr="00192176">
        <w:rPr>
          <w:szCs w:val="24"/>
        </w:rPr>
        <w:t xml:space="preserve">, </w:t>
      </w:r>
      <w:r w:rsidRPr="00A72615">
        <w:rPr>
          <w:szCs w:val="24"/>
        </w:rPr>
        <w:t>47(15–16), 2134–2155</w:t>
      </w:r>
      <w:r w:rsidRPr="00192176">
        <w:rPr>
          <w:szCs w:val="24"/>
        </w:rPr>
        <w:t xml:space="preserve">, </w:t>
      </w:r>
      <w:hyperlink r:id="rId121" w:history="1">
        <w:r w:rsidRPr="00192176">
          <w:rPr>
            <w:rStyle w:val="Hyperlink"/>
            <w:szCs w:val="24"/>
          </w:rPr>
          <w:t>https://doi.org/10.1080/09500693.2024.2331980</w:t>
        </w:r>
      </w:hyperlink>
      <w:r w:rsidRPr="00192176">
        <w:rPr>
          <w:szCs w:val="24"/>
        </w:rPr>
        <w:t>.</w:t>
      </w:r>
      <w:r>
        <w:rPr>
          <w:szCs w:val="24"/>
        </w:rPr>
        <w:t xml:space="preserve"> </w:t>
      </w:r>
    </w:p>
    <w:p w14:paraId="4351AF3D" w14:textId="4906D1E0" w:rsidR="007D0715" w:rsidRPr="00192176" w:rsidRDefault="007D0715" w:rsidP="007D0715">
      <w:pPr>
        <w:rPr>
          <w:szCs w:val="24"/>
        </w:rPr>
      </w:pPr>
      <w:r w:rsidRPr="00192176">
        <w:rPr>
          <w:szCs w:val="24"/>
        </w:rPr>
        <w:t>Osborne J</w:t>
      </w:r>
      <w:r>
        <w:rPr>
          <w:szCs w:val="24"/>
        </w:rPr>
        <w:t xml:space="preserve"> and</w:t>
      </w:r>
      <w:r w:rsidRPr="00192176">
        <w:rPr>
          <w:szCs w:val="24"/>
        </w:rPr>
        <w:t xml:space="preserve"> Pimentel D (2022) ‘Science, misinformation, and the role of education’, </w:t>
      </w:r>
      <w:r w:rsidRPr="00192176">
        <w:rPr>
          <w:i/>
          <w:iCs/>
          <w:szCs w:val="24"/>
        </w:rPr>
        <w:t>Science</w:t>
      </w:r>
      <w:r w:rsidRPr="00192176">
        <w:rPr>
          <w:szCs w:val="24"/>
        </w:rPr>
        <w:t>, 378(6617): 246–248</w:t>
      </w:r>
      <w:r w:rsidR="00BC2AF5">
        <w:rPr>
          <w:szCs w:val="24"/>
        </w:rPr>
        <w:t xml:space="preserve">, </w:t>
      </w:r>
      <w:hyperlink r:id="rId122" w:history="1">
        <w:r w:rsidR="00BC2AF5" w:rsidRPr="00740626">
          <w:rPr>
            <w:rStyle w:val="Hyperlink"/>
            <w:szCs w:val="24"/>
          </w:rPr>
          <w:t>https://doi.org/10.1126/science.abq8093</w:t>
        </w:r>
      </w:hyperlink>
      <w:r w:rsidR="00BC2AF5">
        <w:rPr>
          <w:szCs w:val="24"/>
        </w:rPr>
        <w:t xml:space="preserve">. </w:t>
      </w:r>
    </w:p>
    <w:p w14:paraId="2FBC9EF0" w14:textId="11B4A1DA" w:rsidR="007D0715" w:rsidRPr="00192176" w:rsidRDefault="007D0715" w:rsidP="007D0715">
      <w:pPr>
        <w:rPr>
          <w:szCs w:val="24"/>
        </w:rPr>
      </w:pPr>
      <w:r w:rsidRPr="00192176">
        <w:rPr>
          <w:szCs w:val="24"/>
        </w:rPr>
        <w:t>Park S, Notley T, Thomson TJ, Hourigan A</w:t>
      </w:r>
      <w:r w:rsidR="00AB1139">
        <w:rPr>
          <w:szCs w:val="24"/>
        </w:rPr>
        <w:t xml:space="preserve"> and</w:t>
      </w:r>
      <w:r w:rsidRPr="00192176">
        <w:rPr>
          <w:szCs w:val="24"/>
        </w:rPr>
        <w:t xml:space="preserve"> </w:t>
      </w:r>
      <w:proofErr w:type="spellStart"/>
      <w:r w:rsidRPr="00192176">
        <w:rPr>
          <w:szCs w:val="24"/>
        </w:rPr>
        <w:t>Dezuanni</w:t>
      </w:r>
      <w:proofErr w:type="spellEnd"/>
      <w:r w:rsidRPr="00192176">
        <w:rPr>
          <w:szCs w:val="24"/>
        </w:rPr>
        <w:t xml:space="preserve"> M (2024) </w:t>
      </w:r>
      <w:r w:rsidRPr="00192176">
        <w:rPr>
          <w:i/>
          <w:iCs/>
          <w:szCs w:val="24"/>
        </w:rPr>
        <w:t>Online misinformation in Australia: adults’ experiences, abilities, and responses</w:t>
      </w:r>
      <w:r w:rsidRPr="00192176">
        <w:rPr>
          <w:szCs w:val="24"/>
        </w:rPr>
        <w:t xml:space="preserve">, University of Canberra and Western Sydney University, </w:t>
      </w:r>
      <w:hyperlink r:id="rId123" w:history="1">
        <w:r w:rsidRPr="00192176">
          <w:rPr>
            <w:rStyle w:val="Hyperlink"/>
            <w:szCs w:val="24"/>
          </w:rPr>
          <w:t>https://doi.org/10.60836/jpmm-dw04</w:t>
        </w:r>
      </w:hyperlink>
      <w:r w:rsidRPr="00192176">
        <w:rPr>
          <w:szCs w:val="24"/>
        </w:rPr>
        <w:t>.</w:t>
      </w:r>
      <w:r>
        <w:rPr>
          <w:szCs w:val="24"/>
        </w:rPr>
        <w:t xml:space="preserve"> </w:t>
      </w:r>
    </w:p>
    <w:p w14:paraId="722A269D" w14:textId="1AE59D63" w:rsidR="007D0715" w:rsidRPr="00192176" w:rsidRDefault="007D0715" w:rsidP="007D0715">
      <w:pPr>
        <w:rPr>
          <w:szCs w:val="24"/>
        </w:rPr>
      </w:pPr>
      <w:r w:rsidRPr="00192176">
        <w:rPr>
          <w:szCs w:val="24"/>
        </w:rPr>
        <w:t>Park S, Walsh B</w:t>
      </w:r>
      <w:r w:rsidR="00AB1139">
        <w:rPr>
          <w:szCs w:val="24"/>
        </w:rPr>
        <w:t xml:space="preserve"> and</w:t>
      </w:r>
      <w:r w:rsidRPr="00192176">
        <w:rPr>
          <w:szCs w:val="24"/>
        </w:rPr>
        <w:t xml:space="preserve"> Su J (2023) </w:t>
      </w:r>
      <w:r w:rsidRPr="00192176">
        <w:rPr>
          <w:i/>
          <w:iCs/>
          <w:szCs w:val="24"/>
        </w:rPr>
        <w:t>Libraries and media literacy education</w:t>
      </w:r>
      <w:r w:rsidRPr="00192176">
        <w:rPr>
          <w:szCs w:val="24"/>
        </w:rPr>
        <w:t xml:space="preserve">, News Media Research Centre, University of Canberra, </w:t>
      </w:r>
      <w:hyperlink r:id="rId124" w:history="1">
        <w:r w:rsidRPr="00192176">
          <w:rPr>
            <w:rStyle w:val="Hyperlink"/>
            <w:szCs w:val="24"/>
          </w:rPr>
          <w:t>https://doi.org/10.25916/kahm-zr94</w:t>
        </w:r>
      </w:hyperlink>
      <w:r w:rsidRPr="00192176">
        <w:rPr>
          <w:szCs w:val="24"/>
        </w:rPr>
        <w:t>.</w:t>
      </w:r>
      <w:r>
        <w:rPr>
          <w:szCs w:val="24"/>
        </w:rPr>
        <w:t xml:space="preserve"> </w:t>
      </w:r>
    </w:p>
    <w:p w14:paraId="56185589" w14:textId="292DC28B" w:rsidR="007D0715" w:rsidRPr="001C6878" w:rsidRDefault="007D0715" w:rsidP="007D0715">
      <w:pPr>
        <w:rPr>
          <w:szCs w:val="24"/>
        </w:rPr>
      </w:pPr>
      <w:r w:rsidRPr="001C6878">
        <w:rPr>
          <w:szCs w:val="24"/>
        </w:rPr>
        <w:t xml:space="preserve">Paynter J, Luskin-Saxby S, Keen D, Fordyce K, Frost G, </w:t>
      </w:r>
      <w:proofErr w:type="spellStart"/>
      <w:r w:rsidRPr="001C6878">
        <w:rPr>
          <w:szCs w:val="24"/>
        </w:rPr>
        <w:t>Imms</w:t>
      </w:r>
      <w:proofErr w:type="spellEnd"/>
      <w:r w:rsidRPr="001C6878">
        <w:rPr>
          <w:szCs w:val="24"/>
        </w:rPr>
        <w:t xml:space="preserve"> C</w:t>
      </w:r>
      <w:r w:rsidR="00A45349" w:rsidRPr="001C6878">
        <w:rPr>
          <w:szCs w:val="24"/>
        </w:rPr>
        <w:t xml:space="preserve">, </w:t>
      </w:r>
      <w:r w:rsidR="007F632A" w:rsidRPr="001C6878">
        <w:rPr>
          <w:szCs w:val="24"/>
        </w:rPr>
        <w:t>Miller S, Trembath D, Tucker M, Ecker U</w:t>
      </w:r>
      <w:r w:rsidRPr="001C6878">
        <w:rPr>
          <w:szCs w:val="24"/>
        </w:rPr>
        <w:t xml:space="preserve"> (2019) ‘Evaluation of a template for countering misinformation: real-world autism treatment myth debunking’, </w:t>
      </w:r>
      <w:proofErr w:type="spellStart"/>
      <w:r w:rsidRPr="001C6878">
        <w:rPr>
          <w:i/>
          <w:iCs/>
          <w:szCs w:val="24"/>
        </w:rPr>
        <w:t>PLoS</w:t>
      </w:r>
      <w:proofErr w:type="spellEnd"/>
      <w:r w:rsidRPr="001C6878">
        <w:rPr>
          <w:i/>
          <w:iCs/>
          <w:szCs w:val="24"/>
        </w:rPr>
        <w:t xml:space="preserve"> ONE</w:t>
      </w:r>
      <w:r w:rsidRPr="001C6878">
        <w:rPr>
          <w:szCs w:val="24"/>
        </w:rPr>
        <w:t xml:space="preserve">, 14(1): e0210746, </w:t>
      </w:r>
      <w:hyperlink r:id="rId125" w:history="1">
        <w:r w:rsidRPr="001C6878">
          <w:rPr>
            <w:rStyle w:val="Hyperlink"/>
            <w:szCs w:val="24"/>
          </w:rPr>
          <w:t>https://doi.org/10.1371/journal.pone.0210746</w:t>
        </w:r>
      </w:hyperlink>
      <w:r w:rsidRPr="001C6878">
        <w:rPr>
          <w:szCs w:val="24"/>
        </w:rPr>
        <w:t xml:space="preserve">. </w:t>
      </w:r>
    </w:p>
    <w:p w14:paraId="7E965663" w14:textId="396FF466" w:rsidR="007D0715" w:rsidRPr="00192176" w:rsidRDefault="007D0715" w:rsidP="007D0715">
      <w:pPr>
        <w:rPr>
          <w:szCs w:val="24"/>
        </w:rPr>
      </w:pPr>
      <w:r w:rsidRPr="001C6878">
        <w:rPr>
          <w:szCs w:val="24"/>
        </w:rPr>
        <w:t>Pennycook G, Berinsky AJ, Bhargava P, Lin H, Cole R, Goldberg B,</w:t>
      </w:r>
      <w:r w:rsidR="00F3084B" w:rsidRPr="001C6878">
        <w:rPr>
          <w:szCs w:val="24"/>
        </w:rPr>
        <w:t xml:space="preserve"> Lewandowsky S, Rand DG</w:t>
      </w:r>
      <w:r w:rsidRPr="001C6878">
        <w:rPr>
          <w:szCs w:val="24"/>
        </w:rPr>
        <w:t xml:space="preserve"> (2024) ‘Inoculation and accuracy prompting increase accuracy discernment in combination but not alone’, </w:t>
      </w:r>
      <w:r w:rsidRPr="001C6878">
        <w:rPr>
          <w:i/>
          <w:iCs/>
          <w:szCs w:val="24"/>
        </w:rPr>
        <w:t>Nature Human Behaviour</w:t>
      </w:r>
      <w:r w:rsidRPr="001C6878">
        <w:rPr>
          <w:szCs w:val="24"/>
        </w:rPr>
        <w:t xml:space="preserve">, 8: 2330–2341, </w:t>
      </w:r>
      <w:hyperlink r:id="rId126" w:history="1">
        <w:r w:rsidRPr="001C6878">
          <w:rPr>
            <w:rStyle w:val="Hyperlink"/>
            <w:szCs w:val="24"/>
          </w:rPr>
          <w:t>https://doi.org/10.1038/s41562-024-02023-2</w:t>
        </w:r>
      </w:hyperlink>
      <w:r w:rsidRPr="001C6878">
        <w:rPr>
          <w:szCs w:val="24"/>
        </w:rPr>
        <w:t>.</w:t>
      </w:r>
      <w:r>
        <w:rPr>
          <w:szCs w:val="24"/>
        </w:rPr>
        <w:t xml:space="preserve"> </w:t>
      </w:r>
    </w:p>
    <w:p w14:paraId="1FFD38A5" w14:textId="706DC27F" w:rsidR="007D0715" w:rsidRPr="00192176" w:rsidRDefault="007D0715" w:rsidP="007D0715">
      <w:pPr>
        <w:rPr>
          <w:szCs w:val="24"/>
        </w:rPr>
      </w:pPr>
      <w:r w:rsidRPr="00236C2D">
        <w:rPr>
          <w:szCs w:val="24"/>
        </w:rPr>
        <w:t xml:space="preserve">Pennycook G, Epstein Z, Mosleh M, </w:t>
      </w:r>
      <w:r w:rsidR="00EC7116" w:rsidRPr="00236C2D">
        <w:rPr>
          <w:szCs w:val="24"/>
        </w:rPr>
        <w:t>Arechar AA, Eckles D and Rand DG</w:t>
      </w:r>
      <w:r w:rsidRPr="00236C2D">
        <w:rPr>
          <w:szCs w:val="24"/>
        </w:rPr>
        <w:t xml:space="preserve"> (2021) ‘Shifting attention to accuracy can reduce misinformation online’, </w:t>
      </w:r>
      <w:r w:rsidRPr="00236C2D">
        <w:rPr>
          <w:i/>
          <w:iCs/>
          <w:szCs w:val="24"/>
        </w:rPr>
        <w:t>Nature</w:t>
      </w:r>
      <w:r w:rsidRPr="00236C2D">
        <w:rPr>
          <w:szCs w:val="24"/>
        </w:rPr>
        <w:t xml:space="preserve">, 592: 590–595, </w:t>
      </w:r>
      <w:hyperlink r:id="rId127" w:history="1">
        <w:r w:rsidRPr="00236C2D">
          <w:rPr>
            <w:rStyle w:val="Hyperlink"/>
            <w:szCs w:val="24"/>
          </w:rPr>
          <w:t>https://doi.org/10.1038/s41586-021-03344-2</w:t>
        </w:r>
      </w:hyperlink>
      <w:r w:rsidRPr="00236C2D">
        <w:rPr>
          <w:szCs w:val="24"/>
        </w:rPr>
        <w:t>.</w:t>
      </w:r>
      <w:r>
        <w:rPr>
          <w:szCs w:val="24"/>
        </w:rPr>
        <w:t xml:space="preserve"> </w:t>
      </w:r>
    </w:p>
    <w:p w14:paraId="5072DDEB" w14:textId="77777777" w:rsidR="007D0715" w:rsidRPr="00192176" w:rsidRDefault="007D0715" w:rsidP="007D0715">
      <w:pPr>
        <w:rPr>
          <w:szCs w:val="24"/>
        </w:rPr>
      </w:pPr>
      <w:r w:rsidRPr="00192176">
        <w:rPr>
          <w:szCs w:val="24"/>
        </w:rPr>
        <w:t>Pennycook G</w:t>
      </w:r>
      <w:r>
        <w:rPr>
          <w:szCs w:val="24"/>
        </w:rPr>
        <w:t xml:space="preserve"> and</w:t>
      </w:r>
      <w:r w:rsidRPr="00192176">
        <w:rPr>
          <w:szCs w:val="24"/>
        </w:rPr>
        <w:t xml:space="preserve"> Rand DG (2022) ‘Accuracy prompts are a replicable and generalizable approach for reducing the spread of misinformation’, </w:t>
      </w:r>
      <w:r w:rsidRPr="00192176">
        <w:rPr>
          <w:i/>
          <w:iCs/>
          <w:szCs w:val="24"/>
        </w:rPr>
        <w:t>Nature Communications</w:t>
      </w:r>
      <w:r w:rsidRPr="00192176">
        <w:rPr>
          <w:szCs w:val="24"/>
        </w:rPr>
        <w:t xml:space="preserve">, 13: 2333, </w:t>
      </w:r>
      <w:hyperlink r:id="rId128" w:history="1">
        <w:r w:rsidRPr="00192176">
          <w:rPr>
            <w:rStyle w:val="Hyperlink"/>
            <w:szCs w:val="24"/>
          </w:rPr>
          <w:t>https://doi.org/10.1038/s41467-022-30073-5</w:t>
        </w:r>
      </w:hyperlink>
      <w:r w:rsidRPr="00192176">
        <w:rPr>
          <w:szCs w:val="24"/>
        </w:rPr>
        <w:t>.</w:t>
      </w:r>
      <w:r>
        <w:rPr>
          <w:szCs w:val="24"/>
        </w:rPr>
        <w:t xml:space="preserve"> </w:t>
      </w:r>
    </w:p>
    <w:p w14:paraId="61B86140" w14:textId="5847EDE4" w:rsidR="007D0715" w:rsidRPr="00192176" w:rsidRDefault="007D0715" w:rsidP="007D0715">
      <w:pPr>
        <w:rPr>
          <w:szCs w:val="24"/>
        </w:rPr>
      </w:pPr>
      <w:proofErr w:type="spellStart"/>
      <w:r w:rsidRPr="00192176">
        <w:rPr>
          <w:szCs w:val="24"/>
        </w:rPr>
        <w:t>Pilditch</w:t>
      </w:r>
      <w:proofErr w:type="spellEnd"/>
      <w:r w:rsidRPr="00192176">
        <w:rPr>
          <w:szCs w:val="24"/>
        </w:rPr>
        <w:t xml:space="preserve"> TD, </w:t>
      </w:r>
      <w:proofErr w:type="spellStart"/>
      <w:r w:rsidRPr="00192176">
        <w:rPr>
          <w:szCs w:val="24"/>
        </w:rPr>
        <w:t>Roozenbeek</w:t>
      </w:r>
      <w:proofErr w:type="spellEnd"/>
      <w:r w:rsidRPr="00192176">
        <w:rPr>
          <w:szCs w:val="24"/>
        </w:rPr>
        <w:t xml:space="preserve"> J, Madsen JK</w:t>
      </w:r>
      <w:r w:rsidR="00AB1139">
        <w:rPr>
          <w:szCs w:val="24"/>
        </w:rPr>
        <w:t xml:space="preserve"> and</w:t>
      </w:r>
      <w:r w:rsidRPr="00192176">
        <w:rPr>
          <w:szCs w:val="24"/>
        </w:rPr>
        <w:t xml:space="preserve"> van der Linden S (2022) ‘Psychological inoculation can reduce susceptibility to misinformation in large rational agent networks’, </w:t>
      </w:r>
      <w:r w:rsidRPr="00192176">
        <w:rPr>
          <w:i/>
          <w:iCs/>
          <w:szCs w:val="24"/>
        </w:rPr>
        <w:t>Royal Society Open Science</w:t>
      </w:r>
      <w:r w:rsidRPr="00192176">
        <w:rPr>
          <w:szCs w:val="24"/>
        </w:rPr>
        <w:t xml:space="preserve">, 9(8): 211953, </w:t>
      </w:r>
      <w:hyperlink r:id="rId129" w:history="1">
        <w:r w:rsidRPr="00192176">
          <w:rPr>
            <w:rStyle w:val="Hyperlink"/>
            <w:szCs w:val="24"/>
          </w:rPr>
          <w:t>https://doi.org/10.1098/rsos.211953</w:t>
        </w:r>
      </w:hyperlink>
      <w:r w:rsidRPr="00192176">
        <w:rPr>
          <w:szCs w:val="24"/>
        </w:rPr>
        <w:t>.</w:t>
      </w:r>
      <w:r>
        <w:rPr>
          <w:szCs w:val="24"/>
        </w:rPr>
        <w:t xml:space="preserve"> </w:t>
      </w:r>
    </w:p>
    <w:p w14:paraId="7977CF21" w14:textId="3264C4E2" w:rsidR="007D0715" w:rsidRPr="00192176" w:rsidRDefault="007D0715" w:rsidP="007D0715">
      <w:pPr>
        <w:rPr>
          <w:szCs w:val="24"/>
        </w:rPr>
      </w:pPr>
      <w:r w:rsidRPr="00192176">
        <w:rPr>
          <w:szCs w:val="24"/>
        </w:rPr>
        <w:t xml:space="preserve">Porter E, Wood TJ, </w:t>
      </w:r>
      <w:proofErr w:type="spellStart"/>
      <w:r w:rsidRPr="00192176">
        <w:rPr>
          <w:szCs w:val="24"/>
        </w:rPr>
        <w:t>Broniatowski</w:t>
      </w:r>
      <w:proofErr w:type="spellEnd"/>
      <w:r w:rsidRPr="00192176">
        <w:rPr>
          <w:szCs w:val="24"/>
        </w:rPr>
        <w:t xml:space="preserve"> DA</w:t>
      </w:r>
      <w:r w:rsidR="00AB1139">
        <w:rPr>
          <w:szCs w:val="24"/>
        </w:rPr>
        <w:t xml:space="preserve"> and</w:t>
      </w:r>
      <w:r w:rsidRPr="00192176">
        <w:rPr>
          <w:szCs w:val="24"/>
        </w:rPr>
        <w:t xml:space="preserve"> Hosseini P (2024) ‘Shoves, nudges and combating misinformation: evidence on a new approach’, </w:t>
      </w:r>
      <w:r w:rsidRPr="00192176">
        <w:rPr>
          <w:i/>
          <w:iCs/>
          <w:szCs w:val="24"/>
        </w:rPr>
        <w:t>Behavioural Public Policy</w:t>
      </w:r>
      <w:r w:rsidRPr="00192176">
        <w:rPr>
          <w:szCs w:val="24"/>
        </w:rPr>
        <w:t xml:space="preserve">, 1–17, </w:t>
      </w:r>
      <w:hyperlink r:id="rId130" w:history="1">
        <w:r w:rsidRPr="00192176">
          <w:rPr>
            <w:rStyle w:val="Hyperlink"/>
            <w:szCs w:val="24"/>
          </w:rPr>
          <w:t>https://doi.org/10.1017/bpp.2024.42</w:t>
        </w:r>
      </w:hyperlink>
      <w:r w:rsidRPr="00192176">
        <w:rPr>
          <w:szCs w:val="24"/>
        </w:rPr>
        <w:t>.</w:t>
      </w:r>
      <w:r>
        <w:rPr>
          <w:szCs w:val="24"/>
        </w:rPr>
        <w:t xml:space="preserve"> </w:t>
      </w:r>
    </w:p>
    <w:p w14:paraId="04522100" w14:textId="1881F820" w:rsidR="007D0715" w:rsidRPr="00192176" w:rsidRDefault="007D0715" w:rsidP="007D0715">
      <w:pPr>
        <w:rPr>
          <w:szCs w:val="24"/>
        </w:rPr>
      </w:pPr>
      <w:proofErr w:type="spellStart"/>
      <w:r w:rsidRPr="00192176">
        <w:rPr>
          <w:szCs w:val="24"/>
        </w:rPr>
        <w:t>Prike</w:t>
      </w:r>
      <w:proofErr w:type="spellEnd"/>
      <w:r w:rsidRPr="00192176">
        <w:rPr>
          <w:szCs w:val="24"/>
        </w:rPr>
        <w:t xml:space="preserve"> T, Butler LH</w:t>
      </w:r>
      <w:r w:rsidR="00AB1139">
        <w:rPr>
          <w:szCs w:val="24"/>
        </w:rPr>
        <w:t xml:space="preserve"> and</w:t>
      </w:r>
      <w:r w:rsidRPr="00192176">
        <w:rPr>
          <w:szCs w:val="24"/>
        </w:rPr>
        <w:t xml:space="preserve"> Ecker UKH (2024) ‘Source</w:t>
      </w:r>
      <w:r w:rsidRPr="00192176">
        <w:rPr>
          <w:szCs w:val="24"/>
        </w:rPr>
        <w:noBreakHyphen/>
        <w:t xml:space="preserve">credibility information and social norms improve truth discernment and reduce engagement with misinformation online’, </w:t>
      </w:r>
      <w:r w:rsidRPr="00192176">
        <w:rPr>
          <w:i/>
          <w:iCs/>
          <w:szCs w:val="24"/>
        </w:rPr>
        <w:t>Scientific Reports</w:t>
      </w:r>
      <w:r w:rsidRPr="00192176">
        <w:rPr>
          <w:szCs w:val="24"/>
        </w:rPr>
        <w:t xml:space="preserve">, 14: 6900, </w:t>
      </w:r>
      <w:hyperlink r:id="rId131" w:history="1">
        <w:r w:rsidRPr="00192176">
          <w:rPr>
            <w:rStyle w:val="Hyperlink"/>
            <w:szCs w:val="24"/>
          </w:rPr>
          <w:t>https://doi.org/10.1038/s41598-024-57560-7</w:t>
        </w:r>
      </w:hyperlink>
      <w:r w:rsidRPr="00192176">
        <w:rPr>
          <w:szCs w:val="24"/>
        </w:rPr>
        <w:t>.</w:t>
      </w:r>
      <w:r>
        <w:rPr>
          <w:szCs w:val="24"/>
        </w:rPr>
        <w:t xml:space="preserve"> </w:t>
      </w:r>
    </w:p>
    <w:p w14:paraId="5DC8A1CA" w14:textId="660EDE7A" w:rsidR="007D0715" w:rsidRPr="00192176" w:rsidRDefault="007D0715" w:rsidP="007D0715">
      <w:pPr>
        <w:rPr>
          <w:szCs w:val="24"/>
        </w:rPr>
      </w:pPr>
      <w:r w:rsidRPr="00192176">
        <w:rPr>
          <w:szCs w:val="24"/>
        </w:rPr>
        <w:t xml:space="preserve">Rojas C, </w:t>
      </w:r>
      <w:proofErr w:type="spellStart"/>
      <w:r w:rsidRPr="00192176">
        <w:rPr>
          <w:szCs w:val="24"/>
        </w:rPr>
        <w:t>Algra</w:t>
      </w:r>
      <w:proofErr w:type="spellEnd"/>
      <w:r w:rsidRPr="00192176">
        <w:rPr>
          <w:szCs w:val="24"/>
        </w:rPr>
        <w:t>-Maschio F, Andrejevic M, Coan T, Cook J</w:t>
      </w:r>
      <w:r w:rsidR="00AB1139">
        <w:rPr>
          <w:szCs w:val="24"/>
        </w:rPr>
        <w:t xml:space="preserve"> and</w:t>
      </w:r>
      <w:r w:rsidRPr="00192176">
        <w:rPr>
          <w:szCs w:val="24"/>
        </w:rPr>
        <w:t xml:space="preserve"> Li YF (2024) ‘Augmented CARDS: a machine learning approach to identifying triggers of climate change misinformation on Twitter’, </w:t>
      </w:r>
      <w:proofErr w:type="spellStart"/>
      <w:r w:rsidRPr="00192176">
        <w:rPr>
          <w:i/>
          <w:iCs/>
          <w:szCs w:val="24"/>
        </w:rPr>
        <w:t>arXiv</w:t>
      </w:r>
      <w:proofErr w:type="spellEnd"/>
      <w:r w:rsidRPr="00192176">
        <w:rPr>
          <w:i/>
          <w:iCs/>
          <w:szCs w:val="24"/>
        </w:rPr>
        <w:t xml:space="preserve"> preprint</w:t>
      </w:r>
      <w:r w:rsidR="00917659">
        <w:rPr>
          <w:i/>
          <w:iCs/>
          <w:szCs w:val="24"/>
        </w:rPr>
        <w:t>,</w:t>
      </w:r>
      <w:r w:rsidRPr="00192176">
        <w:rPr>
          <w:szCs w:val="24"/>
        </w:rPr>
        <w:t xml:space="preserve"> </w:t>
      </w:r>
      <w:hyperlink r:id="rId132" w:history="1">
        <w:r w:rsidR="00917659" w:rsidRPr="00740626">
          <w:rPr>
            <w:rStyle w:val="Hyperlink"/>
            <w:szCs w:val="24"/>
          </w:rPr>
          <w:t>https://doi.org/10.48550/arXiv.2404.15673</w:t>
        </w:r>
      </w:hyperlink>
      <w:r w:rsidR="00917659">
        <w:rPr>
          <w:szCs w:val="24"/>
        </w:rPr>
        <w:t xml:space="preserve">. </w:t>
      </w:r>
    </w:p>
    <w:p w14:paraId="74F3A356" w14:textId="71340AC9" w:rsidR="007D0715" w:rsidRPr="00192176" w:rsidRDefault="007D0715" w:rsidP="007D0715">
      <w:pPr>
        <w:rPr>
          <w:szCs w:val="24"/>
        </w:rPr>
      </w:pPr>
      <w:r w:rsidRPr="00192176">
        <w:rPr>
          <w:szCs w:val="24"/>
        </w:rPr>
        <w:t xml:space="preserve">Romanova A, </w:t>
      </w:r>
      <w:proofErr w:type="spellStart"/>
      <w:r w:rsidRPr="00192176">
        <w:rPr>
          <w:szCs w:val="24"/>
        </w:rPr>
        <w:t>Rubinelli</w:t>
      </w:r>
      <w:proofErr w:type="spellEnd"/>
      <w:r w:rsidRPr="00192176">
        <w:rPr>
          <w:szCs w:val="24"/>
        </w:rPr>
        <w:t xml:space="preserve"> S</w:t>
      </w:r>
      <w:r w:rsidR="00AB1139">
        <w:rPr>
          <w:szCs w:val="24"/>
        </w:rPr>
        <w:t xml:space="preserve"> and</w:t>
      </w:r>
      <w:r w:rsidRPr="00192176">
        <w:rPr>
          <w:szCs w:val="24"/>
        </w:rPr>
        <w:t xml:space="preserve"> </w:t>
      </w:r>
      <w:proofErr w:type="spellStart"/>
      <w:r w:rsidRPr="00192176">
        <w:rPr>
          <w:szCs w:val="24"/>
        </w:rPr>
        <w:t>Diviani</w:t>
      </w:r>
      <w:proofErr w:type="spellEnd"/>
      <w:r w:rsidRPr="00192176">
        <w:rPr>
          <w:szCs w:val="24"/>
        </w:rPr>
        <w:t xml:space="preserve"> N (2024) ‘Improving health and scientific literacy in disadvantaged groups: a scoping review of interventions’, </w:t>
      </w:r>
      <w:r w:rsidRPr="00192176">
        <w:rPr>
          <w:i/>
          <w:iCs/>
          <w:szCs w:val="24"/>
        </w:rPr>
        <w:t xml:space="preserve">Patient Education and </w:t>
      </w:r>
      <w:proofErr w:type="spellStart"/>
      <w:r w:rsidRPr="00192176">
        <w:rPr>
          <w:i/>
          <w:iCs/>
          <w:szCs w:val="24"/>
        </w:rPr>
        <w:t>Counseling</w:t>
      </w:r>
      <w:proofErr w:type="spellEnd"/>
      <w:r w:rsidRPr="00192176">
        <w:rPr>
          <w:szCs w:val="24"/>
        </w:rPr>
        <w:t xml:space="preserve">, </w:t>
      </w:r>
      <w:r w:rsidR="00A4777B">
        <w:rPr>
          <w:szCs w:val="24"/>
        </w:rPr>
        <w:t xml:space="preserve">122: </w:t>
      </w:r>
      <w:r w:rsidRPr="00192176">
        <w:rPr>
          <w:szCs w:val="24"/>
        </w:rPr>
        <w:t xml:space="preserve">108168, </w:t>
      </w:r>
      <w:hyperlink r:id="rId133" w:history="1">
        <w:r w:rsidRPr="00192176">
          <w:rPr>
            <w:rStyle w:val="Hyperlink"/>
            <w:szCs w:val="24"/>
          </w:rPr>
          <w:t>https://doi.org/10.1016/j.pec.2024.108168</w:t>
        </w:r>
      </w:hyperlink>
      <w:r w:rsidRPr="00192176">
        <w:rPr>
          <w:szCs w:val="24"/>
        </w:rPr>
        <w:t>.</w:t>
      </w:r>
      <w:r>
        <w:rPr>
          <w:szCs w:val="24"/>
        </w:rPr>
        <w:t xml:space="preserve"> </w:t>
      </w:r>
    </w:p>
    <w:p w14:paraId="41CE1C18" w14:textId="6BF10C16" w:rsidR="007D0715" w:rsidRPr="00192176" w:rsidRDefault="007D0715" w:rsidP="007D0715">
      <w:pPr>
        <w:rPr>
          <w:szCs w:val="24"/>
        </w:rPr>
      </w:pPr>
      <w:proofErr w:type="spellStart"/>
      <w:r w:rsidRPr="00192176">
        <w:rPr>
          <w:szCs w:val="24"/>
        </w:rPr>
        <w:t>Roozenbeek</w:t>
      </w:r>
      <w:proofErr w:type="spellEnd"/>
      <w:r w:rsidRPr="00192176">
        <w:rPr>
          <w:szCs w:val="24"/>
        </w:rPr>
        <w:t xml:space="preserve"> J, </w:t>
      </w:r>
      <w:proofErr w:type="spellStart"/>
      <w:r w:rsidRPr="00192176">
        <w:rPr>
          <w:szCs w:val="24"/>
        </w:rPr>
        <w:t>Remshard</w:t>
      </w:r>
      <w:proofErr w:type="spellEnd"/>
      <w:r w:rsidRPr="00192176">
        <w:rPr>
          <w:szCs w:val="24"/>
        </w:rPr>
        <w:t xml:space="preserve"> M</w:t>
      </w:r>
      <w:r w:rsidR="00AB1139">
        <w:rPr>
          <w:szCs w:val="24"/>
        </w:rPr>
        <w:t xml:space="preserve"> and</w:t>
      </w:r>
      <w:r w:rsidRPr="00192176">
        <w:rPr>
          <w:szCs w:val="24"/>
        </w:rPr>
        <w:t xml:space="preserve"> </w:t>
      </w:r>
      <w:proofErr w:type="spellStart"/>
      <w:r w:rsidRPr="00192176">
        <w:rPr>
          <w:szCs w:val="24"/>
        </w:rPr>
        <w:t>Kyrychenko</w:t>
      </w:r>
      <w:proofErr w:type="spellEnd"/>
      <w:r w:rsidRPr="00192176">
        <w:rPr>
          <w:szCs w:val="24"/>
        </w:rPr>
        <w:t xml:space="preserve"> Y (2024) ‘Beyond the headlines: on the efficacy and effectiveness of misinformation interventions’, </w:t>
      </w:r>
      <w:r w:rsidRPr="00192176">
        <w:rPr>
          <w:i/>
          <w:iCs/>
          <w:szCs w:val="24"/>
        </w:rPr>
        <w:t>Advances in Psychology</w:t>
      </w:r>
      <w:r w:rsidRPr="00192176">
        <w:rPr>
          <w:szCs w:val="24"/>
        </w:rPr>
        <w:t xml:space="preserve">, 2: e24569, </w:t>
      </w:r>
      <w:hyperlink r:id="rId134" w:history="1">
        <w:r w:rsidRPr="00192176">
          <w:rPr>
            <w:rStyle w:val="Hyperlink"/>
            <w:szCs w:val="24"/>
          </w:rPr>
          <w:t>https://doi.org/10.56296/aip00019</w:t>
        </w:r>
      </w:hyperlink>
      <w:r w:rsidRPr="00192176">
        <w:rPr>
          <w:szCs w:val="24"/>
        </w:rPr>
        <w:t>.</w:t>
      </w:r>
      <w:r>
        <w:rPr>
          <w:szCs w:val="24"/>
        </w:rPr>
        <w:t xml:space="preserve"> </w:t>
      </w:r>
    </w:p>
    <w:p w14:paraId="1B189651" w14:textId="0571D766" w:rsidR="007D0715" w:rsidRPr="00192176" w:rsidRDefault="007D0715" w:rsidP="007D0715">
      <w:pPr>
        <w:rPr>
          <w:szCs w:val="24"/>
        </w:rPr>
      </w:pPr>
      <w:proofErr w:type="spellStart"/>
      <w:r w:rsidRPr="00192176">
        <w:rPr>
          <w:szCs w:val="24"/>
        </w:rPr>
        <w:t>Roozenbeek</w:t>
      </w:r>
      <w:proofErr w:type="spellEnd"/>
      <w:r w:rsidRPr="00192176">
        <w:rPr>
          <w:szCs w:val="24"/>
        </w:rPr>
        <w:t xml:space="preserve"> J, van der Linden S, Goldberg B, Rathje S</w:t>
      </w:r>
      <w:r w:rsidR="00AB1139">
        <w:rPr>
          <w:szCs w:val="24"/>
        </w:rPr>
        <w:t xml:space="preserve"> and</w:t>
      </w:r>
      <w:r w:rsidRPr="00192176">
        <w:rPr>
          <w:szCs w:val="24"/>
        </w:rPr>
        <w:t xml:space="preserve"> Lewandowsky S (2022) ‘Psychological inoculation improves resilience against misinformation on social media’, </w:t>
      </w:r>
      <w:r w:rsidRPr="00192176">
        <w:rPr>
          <w:i/>
          <w:iCs/>
          <w:szCs w:val="24"/>
        </w:rPr>
        <w:t>Science Advances</w:t>
      </w:r>
      <w:r w:rsidRPr="00192176">
        <w:rPr>
          <w:szCs w:val="24"/>
        </w:rPr>
        <w:t xml:space="preserve">, 8(34): eabo6254, </w:t>
      </w:r>
      <w:hyperlink r:id="rId135" w:history="1">
        <w:r w:rsidRPr="00192176">
          <w:rPr>
            <w:rStyle w:val="Hyperlink"/>
            <w:szCs w:val="24"/>
          </w:rPr>
          <w:t>https://doi.org/10.1126/sciadv.abo6254</w:t>
        </w:r>
      </w:hyperlink>
      <w:r w:rsidRPr="00192176">
        <w:rPr>
          <w:szCs w:val="24"/>
        </w:rPr>
        <w:t>.</w:t>
      </w:r>
      <w:r>
        <w:rPr>
          <w:szCs w:val="24"/>
        </w:rPr>
        <w:t xml:space="preserve"> </w:t>
      </w:r>
    </w:p>
    <w:p w14:paraId="194B73D9" w14:textId="77777777" w:rsidR="007D0715" w:rsidRPr="00192176" w:rsidRDefault="007D0715" w:rsidP="007D0715">
      <w:pPr>
        <w:rPr>
          <w:szCs w:val="24"/>
        </w:rPr>
      </w:pPr>
      <w:r w:rsidRPr="00192176">
        <w:rPr>
          <w:szCs w:val="24"/>
        </w:rPr>
        <w:t>Saari A</w:t>
      </w:r>
      <w:r>
        <w:rPr>
          <w:szCs w:val="24"/>
        </w:rPr>
        <w:t xml:space="preserve"> and</w:t>
      </w:r>
      <w:r w:rsidRPr="00192176">
        <w:rPr>
          <w:szCs w:val="24"/>
        </w:rPr>
        <w:t xml:space="preserve"> </w:t>
      </w:r>
      <w:proofErr w:type="spellStart"/>
      <w:r w:rsidRPr="00192176">
        <w:rPr>
          <w:szCs w:val="24"/>
        </w:rPr>
        <w:t>Säntti</w:t>
      </w:r>
      <w:proofErr w:type="spellEnd"/>
      <w:r w:rsidRPr="00192176">
        <w:rPr>
          <w:szCs w:val="24"/>
        </w:rPr>
        <w:t xml:space="preserve"> J (2017) ‘The rhetoric of the “digital leap” in Finnish educational policy documents’, </w:t>
      </w:r>
      <w:r w:rsidRPr="00192176">
        <w:rPr>
          <w:i/>
          <w:iCs/>
          <w:szCs w:val="24"/>
        </w:rPr>
        <w:t>European Educational Research Journal</w:t>
      </w:r>
      <w:r w:rsidRPr="00192176">
        <w:rPr>
          <w:szCs w:val="24"/>
        </w:rPr>
        <w:t xml:space="preserve">, 17(3): 442–457, </w:t>
      </w:r>
      <w:hyperlink r:id="rId136" w:history="1">
        <w:r w:rsidRPr="00192176">
          <w:rPr>
            <w:rStyle w:val="Hyperlink"/>
            <w:szCs w:val="24"/>
          </w:rPr>
          <w:t>https://doi.org/10.1177/1474904117721373</w:t>
        </w:r>
      </w:hyperlink>
      <w:r w:rsidRPr="00192176">
        <w:rPr>
          <w:szCs w:val="24"/>
        </w:rPr>
        <w:t>.</w:t>
      </w:r>
      <w:r>
        <w:rPr>
          <w:szCs w:val="24"/>
        </w:rPr>
        <w:t xml:space="preserve"> </w:t>
      </w:r>
    </w:p>
    <w:p w14:paraId="7EA81E2D" w14:textId="77777777" w:rsidR="007D0715" w:rsidRPr="00192176" w:rsidRDefault="007D0715" w:rsidP="007D0715">
      <w:pPr>
        <w:rPr>
          <w:szCs w:val="24"/>
        </w:rPr>
      </w:pPr>
      <w:r w:rsidRPr="00192176">
        <w:rPr>
          <w:szCs w:val="24"/>
        </w:rPr>
        <w:t xml:space="preserve">Sandahl J (2020) ‘Opening up the echo chamber: perspective taking in social science education’, </w:t>
      </w:r>
      <w:r w:rsidRPr="00192176">
        <w:rPr>
          <w:i/>
          <w:iCs/>
          <w:szCs w:val="24"/>
        </w:rPr>
        <w:t xml:space="preserve">Acta </w:t>
      </w:r>
      <w:proofErr w:type="spellStart"/>
      <w:r w:rsidRPr="00192176">
        <w:rPr>
          <w:i/>
          <w:iCs/>
          <w:szCs w:val="24"/>
        </w:rPr>
        <w:t>Didactica</w:t>
      </w:r>
      <w:proofErr w:type="spellEnd"/>
      <w:r w:rsidRPr="00192176">
        <w:rPr>
          <w:i/>
          <w:iCs/>
          <w:szCs w:val="24"/>
        </w:rPr>
        <w:t xml:space="preserve"> Norden</w:t>
      </w:r>
      <w:r w:rsidRPr="00192176">
        <w:rPr>
          <w:szCs w:val="24"/>
        </w:rPr>
        <w:t>, 14(4): 24</w:t>
      </w:r>
      <w:r w:rsidRPr="00192176">
        <w:rPr>
          <w:szCs w:val="24"/>
        </w:rPr>
        <w:noBreakHyphen/>
        <w:t xml:space="preserve">sider, </w:t>
      </w:r>
      <w:hyperlink r:id="rId137" w:history="1">
        <w:r w:rsidRPr="00192176">
          <w:rPr>
            <w:rStyle w:val="Hyperlink"/>
            <w:szCs w:val="24"/>
          </w:rPr>
          <w:t>https://doi.org/10.5617/adno.8350</w:t>
        </w:r>
      </w:hyperlink>
      <w:r w:rsidRPr="00192176">
        <w:rPr>
          <w:szCs w:val="24"/>
        </w:rPr>
        <w:t>.</w:t>
      </w:r>
      <w:r>
        <w:rPr>
          <w:szCs w:val="24"/>
        </w:rPr>
        <w:t xml:space="preserve"> </w:t>
      </w:r>
    </w:p>
    <w:p w14:paraId="129A9618" w14:textId="55523F47" w:rsidR="007D0715" w:rsidRPr="00192176" w:rsidRDefault="007D0715" w:rsidP="007D0715">
      <w:pPr>
        <w:rPr>
          <w:szCs w:val="24"/>
        </w:rPr>
      </w:pPr>
      <w:proofErr w:type="spellStart"/>
      <w:r w:rsidRPr="00192176">
        <w:rPr>
          <w:szCs w:val="24"/>
        </w:rPr>
        <w:t>Simchon</w:t>
      </w:r>
      <w:proofErr w:type="spellEnd"/>
      <w:r w:rsidRPr="00192176">
        <w:rPr>
          <w:szCs w:val="24"/>
        </w:rPr>
        <w:t xml:space="preserve"> A, Edwards M</w:t>
      </w:r>
      <w:r w:rsidR="00AB1139">
        <w:rPr>
          <w:szCs w:val="24"/>
        </w:rPr>
        <w:t xml:space="preserve"> and</w:t>
      </w:r>
      <w:r w:rsidRPr="00192176">
        <w:rPr>
          <w:szCs w:val="24"/>
        </w:rPr>
        <w:t xml:space="preserve"> Lewandowsky S (2024) ‘The persuasive effects of political microtargeting in the age of generative artificial intelligence’, </w:t>
      </w:r>
      <w:r w:rsidRPr="00192176">
        <w:rPr>
          <w:i/>
          <w:iCs/>
          <w:szCs w:val="24"/>
        </w:rPr>
        <w:t>PNAS Nexus</w:t>
      </w:r>
      <w:r w:rsidRPr="00192176">
        <w:rPr>
          <w:szCs w:val="24"/>
        </w:rPr>
        <w:t xml:space="preserve">, 3(2): pgae035, </w:t>
      </w:r>
      <w:hyperlink r:id="rId138" w:history="1">
        <w:r w:rsidRPr="00192176">
          <w:rPr>
            <w:rStyle w:val="Hyperlink"/>
            <w:szCs w:val="24"/>
          </w:rPr>
          <w:t>https://doi.org/10.1093/pnasnexus/pgae035</w:t>
        </w:r>
      </w:hyperlink>
      <w:r w:rsidRPr="00192176">
        <w:rPr>
          <w:szCs w:val="24"/>
        </w:rPr>
        <w:t>.</w:t>
      </w:r>
      <w:r>
        <w:rPr>
          <w:szCs w:val="24"/>
        </w:rPr>
        <w:t xml:space="preserve"> </w:t>
      </w:r>
    </w:p>
    <w:p w14:paraId="4F7CC001" w14:textId="55317B94" w:rsidR="007D0715" w:rsidRPr="00192176" w:rsidRDefault="007D0715" w:rsidP="007D0715">
      <w:pPr>
        <w:rPr>
          <w:szCs w:val="24"/>
        </w:rPr>
      </w:pPr>
      <w:proofErr w:type="spellStart"/>
      <w:r w:rsidRPr="00192176">
        <w:rPr>
          <w:szCs w:val="24"/>
        </w:rPr>
        <w:t>Simchon</w:t>
      </w:r>
      <w:proofErr w:type="spellEnd"/>
      <w:r w:rsidRPr="00192176">
        <w:rPr>
          <w:szCs w:val="24"/>
        </w:rPr>
        <w:t xml:space="preserve"> A, Zipori T, Teitelbaum L, Lewandowsky S</w:t>
      </w:r>
      <w:r w:rsidR="00AB1139">
        <w:rPr>
          <w:szCs w:val="24"/>
        </w:rPr>
        <w:t xml:space="preserve"> and</w:t>
      </w:r>
      <w:r w:rsidRPr="00192176">
        <w:rPr>
          <w:szCs w:val="24"/>
        </w:rPr>
        <w:t xml:space="preserve"> van der Linden S (202</w:t>
      </w:r>
      <w:r w:rsidR="003E627D">
        <w:rPr>
          <w:szCs w:val="24"/>
        </w:rPr>
        <w:t>6</w:t>
      </w:r>
      <w:r w:rsidRPr="00192176">
        <w:rPr>
          <w:szCs w:val="24"/>
        </w:rPr>
        <w:t xml:space="preserve">) ‘A signal detection theory meta-analysis of psychological inoculation against misinformation’, </w:t>
      </w:r>
      <w:r w:rsidRPr="00192176">
        <w:rPr>
          <w:i/>
          <w:iCs/>
          <w:szCs w:val="24"/>
        </w:rPr>
        <w:t>Current Opinion in Psychology</w:t>
      </w:r>
      <w:r w:rsidRPr="00192176">
        <w:rPr>
          <w:szCs w:val="24"/>
        </w:rPr>
        <w:t xml:space="preserve">, </w:t>
      </w:r>
      <w:r w:rsidR="00093C20">
        <w:rPr>
          <w:szCs w:val="24"/>
        </w:rPr>
        <w:t>67</w:t>
      </w:r>
      <w:r w:rsidR="003E627D">
        <w:rPr>
          <w:szCs w:val="24"/>
        </w:rPr>
        <w:t>,</w:t>
      </w:r>
      <w:r w:rsidRPr="00192176">
        <w:rPr>
          <w:szCs w:val="24"/>
        </w:rPr>
        <w:t>102194</w:t>
      </w:r>
      <w:r w:rsidR="003E627D">
        <w:rPr>
          <w:szCs w:val="24"/>
        </w:rPr>
        <w:t xml:space="preserve">, </w:t>
      </w:r>
      <w:hyperlink r:id="rId139" w:history="1">
        <w:r w:rsidR="003E627D" w:rsidRPr="00740626">
          <w:rPr>
            <w:rStyle w:val="Hyperlink"/>
            <w:szCs w:val="24"/>
          </w:rPr>
          <w:t>https://doi.org/10.1016/j.copsyc.2025.102194</w:t>
        </w:r>
      </w:hyperlink>
      <w:r w:rsidRPr="00192176">
        <w:rPr>
          <w:szCs w:val="24"/>
        </w:rPr>
        <w:t>.</w:t>
      </w:r>
      <w:r w:rsidR="003E627D">
        <w:rPr>
          <w:szCs w:val="24"/>
        </w:rPr>
        <w:t xml:space="preserve"> </w:t>
      </w:r>
    </w:p>
    <w:p w14:paraId="7FDEC36C" w14:textId="50222B8E" w:rsidR="007D0715" w:rsidRPr="00192176" w:rsidRDefault="007D0715" w:rsidP="007D0715">
      <w:pPr>
        <w:rPr>
          <w:szCs w:val="24"/>
        </w:rPr>
      </w:pPr>
      <w:r w:rsidRPr="00192176">
        <w:rPr>
          <w:szCs w:val="24"/>
        </w:rPr>
        <w:t>Smirnov I, Oprea C</w:t>
      </w:r>
      <w:r w:rsidR="00AB1139">
        <w:rPr>
          <w:szCs w:val="24"/>
        </w:rPr>
        <w:t xml:space="preserve"> and</w:t>
      </w:r>
      <w:r w:rsidRPr="00192176">
        <w:rPr>
          <w:szCs w:val="24"/>
        </w:rPr>
        <w:t xml:space="preserve"> Strohmaier M (2023) ‘Toxic comments are associated with reduced activity of volunteer editors on Wikipedia’, </w:t>
      </w:r>
      <w:r w:rsidRPr="00192176">
        <w:rPr>
          <w:i/>
          <w:iCs/>
          <w:szCs w:val="24"/>
        </w:rPr>
        <w:t>PNAS Nexus</w:t>
      </w:r>
      <w:r w:rsidRPr="00192176">
        <w:rPr>
          <w:szCs w:val="24"/>
        </w:rPr>
        <w:t xml:space="preserve">, 2(12): pgad385, </w:t>
      </w:r>
      <w:hyperlink r:id="rId140" w:history="1">
        <w:r w:rsidRPr="00192176">
          <w:rPr>
            <w:rStyle w:val="Hyperlink"/>
            <w:szCs w:val="24"/>
          </w:rPr>
          <w:t>https://doi.org/10.1093/pnasnexus/pgad385</w:t>
        </w:r>
      </w:hyperlink>
      <w:r w:rsidRPr="00192176">
        <w:rPr>
          <w:szCs w:val="24"/>
        </w:rPr>
        <w:t>.</w:t>
      </w:r>
      <w:r>
        <w:rPr>
          <w:szCs w:val="24"/>
        </w:rPr>
        <w:t xml:space="preserve"> </w:t>
      </w:r>
    </w:p>
    <w:p w14:paraId="1FFBF701" w14:textId="77777777" w:rsidR="007D0715" w:rsidRPr="00192176" w:rsidRDefault="007D0715" w:rsidP="007D0715">
      <w:pPr>
        <w:rPr>
          <w:szCs w:val="24"/>
        </w:rPr>
      </w:pPr>
      <w:r w:rsidRPr="00192176">
        <w:rPr>
          <w:szCs w:val="24"/>
        </w:rPr>
        <w:t xml:space="preserve">Steinsson S (2024) ‘Rule ambiguity, institutional clashes, and population loss: how Wikipedia became the last good place on the internet’, </w:t>
      </w:r>
      <w:r w:rsidRPr="00192176">
        <w:rPr>
          <w:i/>
          <w:iCs/>
          <w:szCs w:val="24"/>
        </w:rPr>
        <w:t>American Political Science Review</w:t>
      </w:r>
      <w:r w:rsidRPr="00192176">
        <w:rPr>
          <w:szCs w:val="24"/>
        </w:rPr>
        <w:t xml:space="preserve">, 118(1): 235–251, </w:t>
      </w:r>
      <w:hyperlink r:id="rId141" w:history="1">
        <w:r w:rsidRPr="00192176">
          <w:rPr>
            <w:rStyle w:val="Hyperlink"/>
            <w:szCs w:val="24"/>
          </w:rPr>
          <w:t>https://doi.org/10.1017/S0003055423000138</w:t>
        </w:r>
      </w:hyperlink>
      <w:r w:rsidRPr="00192176">
        <w:rPr>
          <w:szCs w:val="24"/>
        </w:rPr>
        <w:t>.</w:t>
      </w:r>
      <w:r>
        <w:rPr>
          <w:szCs w:val="24"/>
        </w:rPr>
        <w:t xml:space="preserve"> </w:t>
      </w:r>
    </w:p>
    <w:p w14:paraId="203FA314" w14:textId="446B7FB2" w:rsidR="007D0715" w:rsidRPr="00192176" w:rsidRDefault="007D0715" w:rsidP="007D0715">
      <w:pPr>
        <w:rPr>
          <w:szCs w:val="24"/>
        </w:rPr>
      </w:pPr>
      <w:r w:rsidRPr="00192176">
        <w:rPr>
          <w:szCs w:val="24"/>
        </w:rPr>
        <w:t>Swire-Thompson B, Dobbs M, Thomas A</w:t>
      </w:r>
      <w:r w:rsidR="00AB1139">
        <w:rPr>
          <w:szCs w:val="24"/>
        </w:rPr>
        <w:t xml:space="preserve"> and</w:t>
      </w:r>
      <w:r w:rsidRPr="00192176">
        <w:rPr>
          <w:szCs w:val="24"/>
        </w:rPr>
        <w:t xml:space="preserve"> DeGutis J (2023) ‘Memory failure predicts belief regression after the correction of misinformation’, </w:t>
      </w:r>
      <w:r w:rsidRPr="00192176">
        <w:rPr>
          <w:i/>
          <w:iCs/>
          <w:szCs w:val="24"/>
        </w:rPr>
        <w:t>Cognition</w:t>
      </w:r>
      <w:r w:rsidRPr="00192176">
        <w:rPr>
          <w:szCs w:val="24"/>
        </w:rPr>
        <w:t xml:space="preserve">, 230: 105276, </w:t>
      </w:r>
      <w:hyperlink r:id="rId142" w:history="1">
        <w:r w:rsidRPr="00192176">
          <w:rPr>
            <w:rStyle w:val="Hyperlink"/>
            <w:szCs w:val="24"/>
          </w:rPr>
          <w:t>https://doi.org/10.1016/j.cognition.2022.105276</w:t>
        </w:r>
      </w:hyperlink>
      <w:r w:rsidRPr="00192176">
        <w:rPr>
          <w:szCs w:val="24"/>
        </w:rPr>
        <w:t>.</w:t>
      </w:r>
      <w:r>
        <w:rPr>
          <w:szCs w:val="24"/>
        </w:rPr>
        <w:t xml:space="preserve"> </w:t>
      </w:r>
    </w:p>
    <w:p w14:paraId="445FF535" w14:textId="2D3603C7" w:rsidR="007D0715" w:rsidRPr="00192176" w:rsidRDefault="007D0715" w:rsidP="007D0715">
      <w:pPr>
        <w:rPr>
          <w:szCs w:val="24"/>
        </w:rPr>
      </w:pPr>
      <w:r w:rsidRPr="00192176">
        <w:rPr>
          <w:szCs w:val="24"/>
        </w:rPr>
        <w:t>Swire-Thompson B, Ecker UK, Lewandowsky S</w:t>
      </w:r>
      <w:r w:rsidR="00AB1139">
        <w:rPr>
          <w:szCs w:val="24"/>
        </w:rPr>
        <w:t xml:space="preserve"> and</w:t>
      </w:r>
      <w:r w:rsidRPr="00192176">
        <w:rPr>
          <w:szCs w:val="24"/>
        </w:rPr>
        <w:t xml:space="preserve"> Berinsky AJ (2020) ‘They might be a liar but they’re my liar: source evaluation and the prevalence of misinformation’, </w:t>
      </w:r>
      <w:r w:rsidRPr="00192176">
        <w:rPr>
          <w:i/>
          <w:iCs/>
          <w:szCs w:val="24"/>
        </w:rPr>
        <w:t>Political Psychology</w:t>
      </w:r>
      <w:r w:rsidRPr="00192176">
        <w:rPr>
          <w:szCs w:val="24"/>
        </w:rPr>
        <w:t xml:space="preserve">, 41(1): 21–34, </w:t>
      </w:r>
      <w:hyperlink r:id="rId143" w:history="1">
        <w:r w:rsidRPr="00192176">
          <w:rPr>
            <w:rStyle w:val="Hyperlink"/>
            <w:szCs w:val="24"/>
          </w:rPr>
          <w:t>https://doi.org/10.1111/pops.12586</w:t>
        </w:r>
      </w:hyperlink>
      <w:r w:rsidRPr="00192176">
        <w:rPr>
          <w:szCs w:val="24"/>
        </w:rPr>
        <w:t>.</w:t>
      </w:r>
      <w:r>
        <w:rPr>
          <w:szCs w:val="24"/>
        </w:rPr>
        <w:t xml:space="preserve"> </w:t>
      </w:r>
    </w:p>
    <w:p w14:paraId="304EBBE9" w14:textId="5A1092BB" w:rsidR="007D0715" w:rsidRPr="00192176" w:rsidRDefault="007D0715" w:rsidP="007D0715">
      <w:pPr>
        <w:rPr>
          <w:szCs w:val="24"/>
        </w:rPr>
      </w:pPr>
      <w:r w:rsidRPr="00192176">
        <w:rPr>
          <w:szCs w:val="24"/>
        </w:rPr>
        <w:t>Tay LQ, Hurlstone MJ, Kurz T</w:t>
      </w:r>
      <w:r w:rsidR="00AB1139">
        <w:rPr>
          <w:szCs w:val="24"/>
        </w:rPr>
        <w:t xml:space="preserve"> and</w:t>
      </w:r>
      <w:r w:rsidRPr="00192176">
        <w:rPr>
          <w:szCs w:val="24"/>
        </w:rPr>
        <w:t xml:space="preserve"> Ecker U (</w:t>
      </w:r>
      <w:r w:rsidR="00AB1139">
        <w:rPr>
          <w:szCs w:val="24"/>
        </w:rPr>
        <w:t>n.d.</w:t>
      </w:r>
      <w:r w:rsidRPr="00192176">
        <w:rPr>
          <w:szCs w:val="24"/>
        </w:rPr>
        <w:t xml:space="preserve">) ‘Do </w:t>
      </w:r>
      <w:proofErr w:type="spellStart"/>
      <w:r w:rsidRPr="00192176">
        <w:rPr>
          <w:szCs w:val="24"/>
        </w:rPr>
        <w:t>prebunking</w:t>
      </w:r>
      <w:proofErr w:type="spellEnd"/>
      <w:r w:rsidRPr="00192176">
        <w:rPr>
          <w:szCs w:val="24"/>
        </w:rPr>
        <w:t xml:space="preserve"> and debunking protect against novel misinformation?’, </w:t>
      </w:r>
      <w:proofErr w:type="spellStart"/>
      <w:r w:rsidRPr="00192176">
        <w:rPr>
          <w:i/>
          <w:iCs/>
          <w:szCs w:val="24"/>
        </w:rPr>
        <w:t>PsyArXiv</w:t>
      </w:r>
      <w:proofErr w:type="spellEnd"/>
      <w:r w:rsidRPr="00192176">
        <w:rPr>
          <w:szCs w:val="24"/>
        </w:rPr>
        <w:t xml:space="preserve">, </w:t>
      </w:r>
      <w:hyperlink r:id="rId144" w:history="1">
        <w:r w:rsidRPr="00192176">
          <w:rPr>
            <w:rStyle w:val="Hyperlink"/>
            <w:szCs w:val="24"/>
          </w:rPr>
          <w:t>https://doi.org/10.31234/osf.io/w7gja</w:t>
        </w:r>
      </w:hyperlink>
      <w:r w:rsidRPr="00192176">
        <w:rPr>
          <w:szCs w:val="24"/>
        </w:rPr>
        <w:t>.</w:t>
      </w:r>
      <w:r>
        <w:rPr>
          <w:szCs w:val="24"/>
        </w:rPr>
        <w:t xml:space="preserve"> </w:t>
      </w:r>
    </w:p>
    <w:p w14:paraId="578BA253" w14:textId="6CE6EBB5" w:rsidR="007D0715" w:rsidRPr="00192176" w:rsidRDefault="007D0715" w:rsidP="007D0715">
      <w:pPr>
        <w:rPr>
          <w:szCs w:val="24"/>
        </w:rPr>
      </w:pPr>
      <w:r w:rsidRPr="00192176">
        <w:rPr>
          <w:szCs w:val="24"/>
        </w:rPr>
        <w:t>Tay LQ, Lewandowsky S, Hurlstone MJ, Kurz T</w:t>
      </w:r>
      <w:r w:rsidR="00AB1139">
        <w:rPr>
          <w:szCs w:val="24"/>
        </w:rPr>
        <w:t xml:space="preserve"> and</w:t>
      </w:r>
      <w:r w:rsidRPr="00192176">
        <w:rPr>
          <w:szCs w:val="24"/>
        </w:rPr>
        <w:t xml:space="preserve"> Ecker UK (2023) ‘A focus shift in the evaluation of misinformation interventions’, </w:t>
      </w:r>
      <w:r w:rsidRPr="00192176">
        <w:rPr>
          <w:i/>
          <w:iCs/>
          <w:szCs w:val="24"/>
        </w:rPr>
        <w:t>Harvard Kennedy School Misinformation Review</w:t>
      </w:r>
      <w:r w:rsidRPr="00192176">
        <w:rPr>
          <w:szCs w:val="24"/>
        </w:rPr>
        <w:t>,</w:t>
      </w:r>
      <w:r>
        <w:rPr>
          <w:szCs w:val="24"/>
        </w:rPr>
        <w:t xml:space="preserve"> 4(5),</w:t>
      </w:r>
      <w:r w:rsidRPr="00192176">
        <w:rPr>
          <w:szCs w:val="24"/>
        </w:rPr>
        <w:t xml:space="preserve"> </w:t>
      </w:r>
      <w:hyperlink r:id="rId145" w:history="1">
        <w:r w:rsidRPr="00192176">
          <w:rPr>
            <w:rStyle w:val="Hyperlink"/>
            <w:szCs w:val="24"/>
          </w:rPr>
          <w:t>https://doi.org/10.37016/mr-2020-124</w:t>
        </w:r>
      </w:hyperlink>
      <w:r w:rsidRPr="00192176">
        <w:rPr>
          <w:szCs w:val="24"/>
        </w:rPr>
        <w:t>.</w:t>
      </w:r>
      <w:r>
        <w:rPr>
          <w:szCs w:val="24"/>
        </w:rPr>
        <w:t xml:space="preserve"> </w:t>
      </w:r>
    </w:p>
    <w:p w14:paraId="22DF2B56" w14:textId="74253E7F" w:rsidR="007D0715" w:rsidRPr="00192176" w:rsidRDefault="007D0715" w:rsidP="007D0715">
      <w:pPr>
        <w:rPr>
          <w:szCs w:val="24"/>
        </w:rPr>
      </w:pPr>
      <w:r w:rsidRPr="00192176">
        <w:rPr>
          <w:szCs w:val="24"/>
        </w:rPr>
        <w:t>Tay LQ, Lewandowsky S, Hurlstone MJ, Kurz T</w:t>
      </w:r>
      <w:r w:rsidR="00AB1139">
        <w:rPr>
          <w:szCs w:val="24"/>
        </w:rPr>
        <w:t xml:space="preserve"> and</w:t>
      </w:r>
      <w:r w:rsidRPr="00192176">
        <w:rPr>
          <w:szCs w:val="24"/>
        </w:rPr>
        <w:t xml:space="preserve"> Ecker UK (2024) ‘Thinking clearly about misinformation’, </w:t>
      </w:r>
      <w:r w:rsidRPr="00192176">
        <w:rPr>
          <w:i/>
          <w:iCs/>
          <w:szCs w:val="24"/>
        </w:rPr>
        <w:t>Communications Psychology</w:t>
      </w:r>
      <w:r w:rsidRPr="00192176">
        <w:rPr>
          <w:szCs w:val="24"/>
        </w:rPr>
        <w:t xml:space="preserve">, 2: 4, </w:t>
      </w:r>
      <w:hyperlink r:id="rId146" w:history="1">
        <w:r w:rsidRPr="00192176">
          <w:rPr>
            <w:rStyle w:val="Hyperlink"/>
            <w:szCs w:val="24"/>
          </w:rPr>
          <w:t>https://doi.org/10.1038/s44271-023-00054-5</w:t>
        </w:r>
      </w:hyperlink>
      <w:r w:rsidRPr="00192176">
        <w:rPr>
          <w:szCs w:val="24"/>
        </w:rPr>
        <w:t>.</w:t>
      </w:r>
      <w:r>
        <w:rPr>
          <w:szCs w:val="24"/>
        </w:rPr>
        <w:t xml:space="preserve"> </w:t>
      </w:r>
    </w:p>
    <w:p w14:paraId="668E4C45" w14:textId="6C9EBF66" w:rsidR="007D0715" w:rsidRPr="00192176" w:rsidRDefault="007D0715" w:rsidP="007D0715">
      <w:pPr>
        <w:rPr>
          <w:szCs w:val="24"/>
        </w:rPr>
      </w:pPr>
      <w:r w:rsidRPr="00192176">
        <w:rPr>
          <w:szCs w:val="24"/>
        </w:rPr>
        <w:t>Thomas GR, Eng L, de Wolff JF</w:t>
      </w:r>
      <w:r w:rsidR="00AB1139">
        <w:rPr>
          <w:szCs w:val="24"/>
        </w:rPr>
        <w:t xml:space="preserve"> and</w:t>
      </w:r>
      <w:r w:rsidRPr="00192176">
        <w:rPr>
          <w:szCs w:val="24"/>
        </w:rPr>
        <w:t xml:space="preserve"> Grover SC (2013) ‘An evaluation of Wikipedia as a resource for patient education in nephrology’, in </w:t>
      </w:r>
      <w:r w:rsidRPr="00192176">
        <w:rPr>
          <w:i/>
          <w:iCs/>
          <w:szCs w:val="24"/>
        </w:rPr>
        <w:t>Seminars in Dialysis</w:t>
      </w:r>
      <w:r w:rsidRPr="00192176">
        <w:rPr>
          <w:szCs w:val="24"/>
        </w:rPr>
        <w:t xml:space="preserve">, </w:t>
      </w:r>
      <w:r>
        <w:rPr>
          <w:szCs w:val="24"/>
        </w:rPr>
        <w:t xml:space="preserve">26(2): </w:t>
      </w:r>
      <w:r w:rsidRPr="00192176">
        <w:rPr>
          <w:szCs w:val="24"/>
        </w:rPr>
        <w:t>159–163</w:t>
      </w:r>
      <w:r>
        <w:rPr>
          <w:szCs w:val="24"/>
        </w:rPr>
        <w:t xml:space="preserve">, </w:t>
      </w:r>
      <w:hyperlink r:id="rId147" w:history="1">
        <w:r w:rsidRPr="001E701A">
          <w:rPr>
            <w:rStyle w:val="Hyperlink"/>
            <w:szCs w:val="24"/>
          </w:rPr>
          <w:t>https://doi.org/10.1111/sdi.12059</w:t>
        </w:r>
      </w:hyperlink>
      <w:r>
        <w:rPr>
          <w:szCs w:val="24"/>
        </w:rPr>
        <w:t xml:space="preserve">. </w:t>
      </w:r>
    </w:p>
    <w:p w14:paraId="7C10DE96" w14:textId="305869F4" w:rsidR="007D0715" w:rsidRDefault="007D0715" w:rsidP="007D0715">
      <w:pPr>
        <w:rPr>
          <w:szCs w:val="24"/>
        </w:rPr>
      </w:pPr>
      <w:r w:rsidRPr="00A72615">
        <w:rPr>
          <w:szCs w:val="24"/>
        </w:rPr>
        <w:t xml:space="preserve">Thomas J, </w:t>
      </w:r>
      <w:proofErr w:type="spellStart"/>
      <w:r w:rsidRPr="00A72615">
        <w:rPr>
          <w:szCs w:val="24"/>
        </w:rPr>
        <w:t>Barraket</w:t>
      </w:r>
      <w:proofErr w:type="spellEnd"/>
      <w:r w:rsidRPr="00A72615">
        <w:rPr>
          <w:szCs w:val="24"/>
        </w:rPr>
        <w:t xml:space="preserve"> J, Parkinson S, Wilson C, Holcombe-James I, Kennedy J, Mannell K</w:t>
      </w:r>
      <w:r w:rsidR="00AB1139">
        <w:rPr>
          <w:szCs w:val="24"/>
        </w:rPr>
        <w:t xml:space="preserve"> and</w:t>
      </w:r>
      <w:r w:rsidRPr="00A72615">
        <w:rPr>
          <w:szCs w:val="24"/>
        </w:rPr>
        <w:t xml:space="preserve"> Brydon A (2021) </w:t>
      </w:r>
      <w:hyperlink r:id="rId148" w:history="1">
        <w:r w:rsidRPr="00192176">
          <w:rPr>
            <w:rStyle w:val="Hyperlink"/>
            <w:i/>
            <w:iCs/>
            <w:szCs w:val="24"/>
          </w:rPr>
          <w:t>Measuring Australia’s digital divide: the Australian digital inclusion index 2021</w:t>
        </w:r>
      </w:hyperlink>
      <w:r>
        <w:rPr>
          <w:i/>
          <w:iCs/>
          <w:szCs w:val="24"/>
        </w:rPr>
        <w:t>,</w:t>
      </w:r>
      <w:r>
        <w:rPr>
          <w:szCs w:val="24"/>
        </w:rPr>
        <w:t xml:space="preserve"> </w:t>
      </w:r>
      <w:r w:rsidRPr="00A72615">
        <w:rPr>
          <w:szCs w:val="24"/>
        </w:rPr>
        <w:t>RMIT, Swinburne University of Technology, and Telstra</w:t>
      </w:r>
      <w:r>
        <w:rPr>
          <w:szCs w:val="24"/>
        </w:rPr>
        <w:t>,</w:t>
      </w:r>
      <w:r w:rsidRPr="00A72615">
        <w:rPr>
          <w:szCs w:val="24"/>
        </w:rPr>
        <w:t xml:space="preserve"> DOI: 10.25916/phgw-b725</w:t>
      </w:r>
      <w:r w:rsidR="002B4F0B">
        <w:rPr>
          <w:szCs w:val="24"/>
        </w:rPr>
        <w:t>.</w:t>
      </w:r>
    </w:p>
    <w:p w14:paraId="2E38136F" w14:textId="01B6E929" w:rsidR="007D0715" w:rsidRPr="00192176" w:rsidRDefault="007D0715" w:rsidP="007D0715">
      <w:pPr>
        <w:rPr>
          <w:szCs w:val="24"/>
        </w:rPr>
      </w:pPr>
      <w:r w:rsidRPr="00192176">
        <w:rPr>
          <w:szCs w:val="24"/>
        </w:rPr>
        <w:t xml:space="preserve">Thorson E (2024) </w:t>
      </w:r>
      <w:r w:rsidRPr="00192176">
        <w:rPr>
          <w:i/>
          <w:iCs/>
          <w:szCs w:val="24"/>
        </w:rPr>
        <w:t>How news coverage of misinformation shapes perceptions and trust</w:t>
      </w:r>
      <w:r w:rsidRPr="00192176">
        <w:rPr>
          <w:szCs w:val="24"/>
        </w:rPr>
        <w:t>, Cambridge University Press</w:t>
      </w:r>
      <w:r w:rsidR="007C1BFE">
        <w:rPr>
          <w:szCs w:val="24"/>
        </w:rPr>
        <w:t xml:space="preserve">, </w:t>
      </w:r>
      <w:hyperlink r:id="rId149" w:history="1">
        <w:r w:rsidR="007C1BFE" w:rsidRPr="004F7C8C">
          <w:rPr>
            <w:rStyle w:val="Hyperlink"/>
            <w:szCs w:val="24"/>
          </w:rPr>
          <w:t>https://doi.org/10.1017/9781009488815</w:t>
        </w:r>
      </w:hyperlink>
      <w:r w:rsidR="007C1BFE">
        <w:rPr>
          <w:szCs w:val="24"/>
        </w:rPr>
        <w:t xml:space="preserve">. </w:t>
      </w:r>
    </w:p>
    <w:p w14:paraId="384E5561" w14:textId="5D4426A3" w:rsidR="007D0715" w:rsidRPr="00192176" w:rsidRDefault="007D0715" w:rsidP="007D0715">
      <w:pPr>
        <w:rPr>
          <w:szCs w:val="24"/>
        </w:rPr>
      </w:pPr>
      <w:r w:rsidRPr="00192176">
        <w:rPr>
          <w:szCs w:val="24"/>
        </w:rPr>
        <w:t xml:space="preserve">Troy AS, </w:t>
      </w:r>
      <w:proofErr w:type="spellStart"/>
      <w:r w:rsidRPr="00192176">
        <w:rPr>
          <w:szCs w:val="24"/>
        </w:rPr>
        <w:t>Willroth</w:t>
      </w:r>
      <w:proofErr w:type="spellEnd"/>
      <w:r w:rsidRPr="00192176">
        <w:rPr>
          <w:szCs w:val="24"/>
        </w:rPr>
        <w:t xml:space="preserve"> EC, Shallcross AJ, Giuliani NR, Gross JJ</w:t>
      </w:r>
      <w:r w:rsidR="00AB1139">
        <w:rPr>
          <w:szCs w:val="24"/>
        </w:rPr>
        <w:t xml:space="preserve"> and</w:t>
      </w:r>
      <w:r w:rsidRPr="00192176">
        <w:rPr>
          <w:szCs w:val="24"/>
        </w:rPr>
        <w:t xml:space="preserve"> Mauss IB (2023) ‘Psychological resilience: an affect</w:t>
      </w:r>
      <w:r w:rsidRPr="00192176">
        <w:rPr>
          <w:szCs w:val="24"/>
        </w:rPr>
        <w:noBreakHyphen/>
        <w:t xml:space="preserve">regulation framework’, </w:t>
      </w:r>
      <w:r w:rsidRPr="00192176">
        <w:rPr>
          <w:i/>
          <w:iCs/>
          <w:szCs w:val="24"/>
        </w:rPr>
        <w:t>Annual Review of Psychology</w:t>
      </w:r>
      <w:r w:rsidRPr="00192176">
        <w:rPr>
          <w:szCs w:val="24"/>
        </w:rPr>
        <w:t xml:space="preserve">, 74: 547–576, </w:t>
      </w:r>
      <w:hyperlink r:id="rId150" w:history="1">
        <w:r w:rsidRPr="00192176">
          <w:rPr>
            <w:rStyle w:val="Hyperlink"/>
            <w:szCs w:val="24"/>
          </w:rPr>
          <w:t>https://doi.org/10.1146/annurev-psych-020122-041854</w:t>
        </w:r>
      </w:hyperlink>
      <w:r w:rsidRPr="00192176">
        <w:rPr>
          <w:szCs w:val="24"/>
        </w:rPr>
        <w:t>.</w:t>
      </w:r>
      <w:r>
        <w:rPr>
          <w:szCs w:val="24"/>
        </w:rPr>
        <w:t xml:space="preserve"> </w:t>
      </w:r>
    </w:p>
    <w:p w14:paraId="2643EFFF" w14:textId="77777777" w:rsidR="009238B1" w:rsidRPr="00192176" w:rsidRDefault="009238B1" w:rsidP="009238B1">
      <w:pPr>
        <w:rPr>
          <w:szCs w:val="24"/>
        </w:rPr>
      </w:pPr>
      <w:r w:rsidRPr="009238B1">
        <w:rPr>
          <w:szCs w:val="24"/>
        </w:rPr>
        <w:t xml:space="preserve">Webber M, McNaughton S, Gerrard J, Meade S, Verdonk C (2023) </w:t>
      </w:r>
      <w:hyperlink r:id="rId151" w:history="1">
        <w:r w:rsidRPr="009238B1">
          <w:rPr>
            <w:rStyle w:val="Hyperlink"/>
            <w:i/>
            <w:iCs/>
            <w:szCs w:val="24"/>
          </w:rPr>
          <w:t>He Uru Kahikatea: building young people’s resilience through media and information literacy and digital citizenship skills</w:t>
        </w:r>
      </w:hyperlink>
      <w:r w:rsidRPr="009238B1">
        <w:rPr>
          <w:szCs w:val="24"/>
        </w:rPr>
        <w:t>, Office of the Prime Minister’s Science Advisor, New Zealand.</w:t>
      </w:r>
    </w:p>
    <w:p w14:paraId="302E2BBA" w14:textId="5E8C5FF3" w:rsidR="007D0715" w:rsidRPr="00192176" w:rsidRDefault="007D0715" w:rsidP="007D0715">
      <w:pPr>
        <w:rPr>
          <w:szCs w:val="24"/>
        </w:rPr>
      </w:pPr>
      <w:r w:rsidRPr="00192176">
        <w:rPr>
          <w:szCs w:val="24"/>
        </w:rPr>
        <w:t>Weisberg L, Kohnen A</w:t>
      </w:r>
      <w:r w:rsidR="00AB1139">
        <w:rPr>
          <w:szCs w:val="24"/>
        </w:rPr>
        <w:t xml:space="preserve"> and</w:t>
      </w:r>
      <w:r w:rsidRPr="00192176">
        <w:rPr>
          <w:szCs w:val="24"/>
        </w:rPr>
        <w:t xml:space="preserve"> Dawson K (2022) ‘Impacts of a digital literacy intervention on preservice teachers’ civic online reasoning abilities, strategies, and perceptions’, </w:t>
      </w:r>
      <w:r w:rsidRPr="00192176">
        <w:rPr>
          <w:i/>
          <w:iCs/>
          <w:szCs w:val="24"/>
        </w:rPr>
        <w:t>Journal of Technology and Teacher Education</w:t>
      </w:r>
      <w:r w:rsidRPr="00192176">
        <w:rPr>
          <w:szCs w:val="24"/>
        </w:rPr>
        <w:t xml:space="preserve">, 30(1): 73–98, Society for Information Technology and Teacher Education, Waynesville, NC USA, </w:t>
      </w:r>
      <w:hyperlink r:id="rId152" w:history="1">
        <w:r w:rsidR="00597531" w:rsidRPr="004F7C8C">
          <w:rPr>
            <w:rStyle w:val="Hyperlink"/>
          </w:rPr>
          <w:t>https://doi.org/10.70725/926509jtmzpi</w:t>
        </w:r>
      </w:hyperlink>
      <w:r w:rsidR="00597531">
        <w:t xml:space="preserve">. </w:t>
      </w:r>
    </w:p>
    <w:p w14:paraId="76504EF7" w14:textId="3F6893BB" w:rsidR="007D0715" w:rsidRPr="00192176" w:rsidRDefault="007D0715" w:rsidP="007D0715">
      <w:pPr>
        <w:rPr>
          <w:szCs w:val="24"/>
        </w:rPr>
      </w:pPr>
      <w:r w:rsidRPr="00DE732A">
        <w:rPr>
          <w:szCs w:val="24"/>
        </w:rPr>
        <w:t xml:space="preserve">Wen LM, Xu H, Jawad D, Buchanan L, Rissel C, </w:t>
      </w:r>
      <w:proofErr w:type="spellStart"/>
      <w:r w:rsidRPr="00DE732A">
        <w:rPr>
          <w:szCs w:val="24"/>
        </w:rPr>
        <w:t>Phongsavan</w:t>
      </w:r>
      <w:proofErr w:type="spellEnd"/>
      <w:r w:rsidRPr="00DE732A">
        <w:rPr>
          <w:szCs w:val="24"/>
        </w:rPr>
        <w:t xml:space="preserve"> P, </w:t>
      </w:r>
      <w:r w:rsidR="00F52E29" w:rsidRPr="00DE732A">
        <w:rPr>
          <w:szCs w:val="24"/>
        </w:rPr>
        <w:t>Baur LA, Taki S</w:t>
      </w:r>
      <w:r w:rsidRPr="00DE732A">
        <w:rPr>
          <w:szCs w:val="24"/>
        </w:rPr>
        <w:t xml:space="preserve"> (2021) ‘Ethnicity matters in perceived impacts and information sources of COVID</w:t>
      </w:r>
      <w:r w:rsidRPr="00DE732A">
        <w:rPr>
          <w:szCs w:val="24"/>
        </w:rPr>
        <w:noBreakHyphen/>
        <w:t>19 among mothers with young children in Australia: a cross</w:t>
      </w:r>
      <w:r w:rsidRPr="00DE732A">
        <w:rPr>
          <w:szCs w:val="24"/>
        </w:rPr>
        <w:noBreakHyphen/>
        <w:t xml:space="preserve">sectional study’, </w:t>
      </w:r>
      <w:r w:rsidRPr="00DE732A">
        <w:rPr>
          <w:i/>
          <w:iCs/>
          <w:szCs w:val="24"/>
        </w:rPr>
        <w:t>BMJ Open</w:t>
      </w:r>
      <w:r w:rsidRPr="00DE732A">
        <w:rPr>
          <w:szCs w:val="24"/>
        </w:rPr>
        <w:t xml:space="preserve">, 11(11): e050557, </w:t>
      </w:r>
      <w:hyperlink r:id="rId153" w:history="1">
        <w:r w:rsidRPr="00DE732A">
          <w:rPr>
            <w:rStyle w:val="Hyperlink"/>
            <w:szCs w:val="24"/>
          </w:rPr>
          <w:t>https://doi.org/10.1136/bmjopen-2021-050557</w:t>
        </w:r>
      </w:hyperlink>
      <w:r w:rsidRPr="00DE732A">
        <w:rPr>
          <w:szCs w:val="24"/>
        </w:rPr>
        <w:t>.</w:t>
      </w:r>
      <w:r>
        <w:rPr>
          <w:szCs w:val="24"/>
        </w:rPr>
        <w:t xml:space="preserve"> </w:t>
      </w:r>
    </w:p>
    <w:p w14:paraId="01F2561E" w14:textId="6912D092" w:rsidR="007D0715" w:rsidRPr="00192176" w:rsidRDefault="007D0715" w:rsidP="007D0715">
      <w:pPr>
        <w:rPr>
          <w:szCs w:val="24"/>
        </w:rPr>
      </w:pPr>
      <w:r w:rsidRPr="00192176">
        <w:rPr>
          <w:szCs w:val="24"/>
        </w:rPr>
        <w:t>Wineburg S, Breakstone J, McGrew S, Smith MD</w:t>
      </w:r>
      <w:r w:rsidR="00AB1139">
        <w:rPr>
          <w:szCs w:val="24"/>
        </w:rPr>
        <w:t xml:space="preserve"> and</w:t>
      </w:r>
      <w:r w:rsidRPr="00192176">
        <w:rPr>
          <w:szCs w:val="24"/>
        </w:rPr>
        <w:t xml:space="preserve"> Ortega T (2022) ‘Lateral reading on the open internet: a district</w:t>
      </w:r>
      <w:r w:rsidRPr="00192176">
        <w:rPr>
          <w:szCs w:val="24"/>
        </w:rPr>
        <w:noBreakHyphen/>
        <w:t xml:space="preserve">wide field study in high school government classes’, </w:t>
      </w:r>
      <w:r w:rsidRPr="00192176">
        <w:rPr>
          <w:i/>
          <w:iCs/>
          <w:szCs w:val="24"/>
        </w:rPr>
        <w:t>Journal of Educational Psychology</w:t>
      </w:r>
      <w:r w:rsidRPr="00192176">
        <w:rPr>
          <w:szCs w:val="24"/>
        </w:rPr>
        <w:t>, 114(5): 893</w:t>
      </w:r>
      <w:r w:rsidR="00501885">
        <w:rPr>
          <w:szCs w:val="24"/>
        </w:rPr>
        <w:t>-909</w:t>
      </w:r>
      <w:r w:rsidRPr="00192176">
        <w:rPr>
          <w:szCs w:val="24"/>
        </w:rPr>
        <w:t xml:space="preserve">, </w:t>
      </w:r>
      <w:hyperlink r:id="rId154" w:history="1">
        <w:r w:rsidRPr="00192176">
          <w:rPr>
            <w:rStyle w:val="Hyperlink"/>
            <w:szCs w:val="24"/>
          </w:rPr>
          <w:t>https://psycnet.apa.org/doi/10.1037/edu0000740</w:t>
        </w:r>
      </w:hyperlink>
      <w:r w:rsidRPr="00192176">
        <w:rPr>
          <w:szCs w:val="24"/>
        </w:rPr>
        <w:t>.</w:t>
      </w:r>
      <w:r>
        <w:rPr>
          <w:szCs w:val="24"/>
        </w:rPr>
        <w:t xml:space="preserve"> </w:t>
      </w:r>
    </w:p>
    <w:p w14:paraId="48DE5E17" w14:textId="18B98F64" w:rsidR="007D0715" w:rsidRPr="00192176" w:rsidRDefault="007D0715" w:rsidP="007D0715">
      <w:pPr>
        <w:rPr>
          <w:szCs w:val="24"/>
        </w:rPr>
      </w:pPr>
      <w:r w:rsidRPr="00192176">
        <w:rPr>
          <w:szCs w:val="24"/>
        </w:rPr>
        <w:t>Wineburg S</w:t>
      </w:r>
      <w:r w:rsidR="000C399E">
        <w:rPr>
          <w:szCs w:val="24"/>
        </w:rPr>
        <w:t xml:space="preserve"> and</w:t>
      </w:r>
      <w:r w:rsidRPr="00192176">
        <w:rPr>
          <w:szCs w:val="24"/>
        </w:rPr>
        <w:t xml:space="preserve"> McGrew S (2019) ‘Lateral reading and the nature of expertise: reading less and learning more when evaluating digital information’, </w:t>
      </w:r>
      <w:r w:rsidRPr="00192176">
        <w:rPr>
          <w:i/>
          <w:iCs/>
          <w:szCs w:val="24"/>
        </w:rPr>
        <w:t>Teachers College Record</w:t>
      </w:r>
      <w:r w:rsidRPr="00192176">
        <w:rPr>
          <w:szCs w:val="24"/>
        </w:rPr>
        <w:t xml:space="preserve">, 121(11): 1–40, </w:t>
      </w:r>
      <w:hyperlink r:id="rId155" w:history="1">
        <w:r w:rsidRPr="00192176">
          <w:rPr>
            <w:rStyle w:val="Hyperlink"/>
            <w:szCs w:val="24"/>
          </w:rPr>
          <w:t>https://doi.org/10.1177/016146811912101102</w:t>
        </w:r>
      </w:hyperlink>
      <w:r w:rsidRPr="00192176">
        <w:rPr>
          <w:szCs w:val="24"/>
        </w:rPr>
        <w:t>.</w:t>
      </w:r>
      <w:r>
        <w:rPr>
          <w:szCs w:val="24"/>
        </w:rPr>
        <w:t xml:space="preserve"> </w:t>
      </w:r>
    </w:p>
    <w:p w14:paraId="15CC841C" w14:textId="330FB92B" w:rsidR="007D0715" w:rsidRPr="00192176" w:rsidRDefault="007D0715" w:rsidP="007D0715">
      <w:pPr>
        <w:rPr>
          <w:szCs w:val="24"/>
        </w:rPr>
      </w:pPr>
      <w:r w:rsidRPr="00192176">
        <w:rPr>
          <w:szCs w:val="24"/>
        </w:rPr>
        <w:t>Wirtschafter V</w:t>
      </w:r>
      <w:r w:rsidR="000C399E">
        <w:rPr>
          <w:szCs w:val="24"/>
        </w:rPr>
        <w:t xml:space="preserve"> and</w:t>
      </w:r>
      <w:r w:rsidRPr="00192176">
        <w:rPr>
          <w:szCs w:val="24"/>
        </w:rPr>
        <w:t xml:space="preserve"> Majumder S (2023) ‘Future challenges for online, crowdsourced content moderation: evidence from Twitter’s Community Notes’, </w:t>
      </w:r>
      <w:r w:rsidRPr="00192176">
        <w:rPr>
          <w:i/>
          <w:iCs/>
          <w:szCs w:val="24"/>
        </w:rPr>
        <w:t>Journal of Online Trust and Safety</w:t>
      </w:r>
      <w:r w:rsidRPr="00192176">
        <w:rPr>
          <w:szCs w:val="24"/>
        </w:rPr>
        <w:t xml:space="preserve">, 2(1), </w:t>
      </w:r>
      <w:hyperlink r:id="rId156" w:history="1">
        <w:r w:rsidRPr="00192176">
          <w:rPr>
            <w:rStyle w:val="Hyperlink"/>
            <w:szCs w:val="24"/>
          </w:rPr>
          <w:t>https://doi.org/10.54501/jots.v2i1.139</w:t>
        </w:r>
      </w:hyperlink>
      <w:r w:rsidRPr="00192176">
        <w:rPr>
          <w:szCs w:val="24"/>
        </w:rPr>
        <w:t>.</w:t>
      </w:r>
      <w:r>
        <w:rPr>
          <w:szCs w:val="24"/>
        </w:rPr>
        <w:t xml:space="preserve"> </w:t>
      </w:r>
    </w:p>
    <w:p w14:paraId="61F4D1EE" w14:textId="777C7EFE" w:rsidR="007D0715" w:rsidRPr="00192176" w:rsidRDefault="007D0715" w:rsidP="007D0715">
      <w:pPr>
        <w:rPr>
          <w:szCs w:val="24"/>
        </w:rPr>
      </w:pPr>
      <w:proofErr w:type="spellStart"/>
      <w:r w:rsidRPr="00192176">
        <w:rPr>
          <w:szCs w:val="24"/>
        </w:rPr>
        <w:t>Yelbuz</w:t>
      </w:r>
      <w:proofErr w:type="spellEnd"/>
      <w:r w:rsidRPr="00192176">
        <w:rPr>
          <w:szCs w:val="24"/>
        </w:rPr>
        <w:t xml:space="preserve"> BE, Madan E</w:t>
      </w:r>
      <w:r w:rsidR="00AB1139">
        <w:rPr>
          <w:szCs w:val="24"/>
        </w:rPr>
        <w:t xml:space="preserve"> and</w:t>
      </w:r>
      <w:r w:rsidRPr="00192176">
        <w:rPr>
          <w:szCs w:val="24"/>
        </w:rPr>
        <w:t xml:space="preserve"> Alper S (2022) ‘Reflective thinking predicts lower conspiracy beliefs: a meta</w:t>
      </w:r>
      <w:r w:rsidRPr="00192176">
        <w:rPr>
          <w:szCs w:val="24"/>
        </w:rPr>
        <w:noBreakHyphen/>
        <w:t xml:space="preserve">analysis’, </w:t>
      </w:r>
      <w:r w:rsidRPr="00192176">
        <w:rPr>
          <w:i/>
          <w:iCs/>
          <w:szCs w:val="24"/>
        </w:rPr>
        <w:t>Judgment and Decision Making</w:t>
      </w:r>
      <w:r w:rsidRPr="00192176">
        <w:rPr>
          <w:szCs w:val="24"/>
        </w:rPr>
        <w:t xml:space="preserve">, 17(4): 720–744, </w:t>
      </w:r>
      <w:hyperlink r:id="rId157" w:history="1">
        <w:r w:rsidRPr="00192176">
          <w:rPr>
            <w:rStyle w:val="Hyperlink"/>
            <w:szCs w:val="24"/>
          </w:rPr>
          <w:t>https://doi.org/10.1017/S1930297500008913</w:t>
        </w:r>
      </w:hyperlink>
      <w:r w:rsidRPr="00192176">
        <w:rPr>
          <w:szCs w:val="24"/>
        </w:rPr>
        <w:t>.</w:t>
      </w:r>
      <w:r>
        <w:rPr>
          <w:szCs w:val="24"/>
        </w:rPr>
        <w:t xml:space="preserve"> </w:t>
      </w:r>
    </w:p>
    <w:p w14:paraId="0826744D" w14:textId="4B7AC762" w:rsidR="007D0715" w:rsidRPr="00192176" w:rsidRDefault="007D0715" w:rsidP="007D0715">
      <w:pPr>
        <w:rPr>
          <w:szCs w:val="24"/>
        </w:rPr>
      </w:pPr>
      <w:r w:rsidRPr="00192176">
        <w:rPr>
          <w:szCs w:val="24"/>
        </w:rPr>
        <w:t>Yu W</w:t>
      </w:r>
      <w:r w:rsidR="00AB1139">
        <w:rPr>
          <w:szCs w:val="24"/>
        </w:rPr>
        <w:t xml:space="preserve"> and</w:t>
      </w:r>
      <w:r w:rsidRPr="00192176">
        <w:rPr>
          <w:szCs w:val="24"/>
        </w:rPr>
        <w:t xml:space="preserve"> Shen F (2024) ‘Mapping verification behaviours in the post</w:t>
      </w:r>
      <w:r w:rsidRPr="00192176">
        <w:rPr>
          <w:szCs w:val="24"/>
        </w:rPr>
        <w:noBreakHyphen/>
        <w:t xml:space="preserve">truth era: a systematic review’, </w:t>
      </w:r>
      <w:r w:rsidRPr="00192176">
        <w:rPr>
          <w:i/>
          <w:iCs/>
          <w:szCs w:val="24"/>
        </w:rPr>
        <w:t>New Media and Society</w:t>
      </w:r>
      <w:r w:rsidRPr="00192176">
        <w:rPr>
          <w:szCs w:val="24"/>
        </w:rPr>
        <w:t xml:space="preserve">, 26(3): 1703–1727, </w:t>
      </w:r>
      <w:hyperlink r:id="rId158" w:history="1">
        <w:r w:rsidRPr="00192176">
          <w:rPr>
            <w:rStyle w:val="Hyperlink"/>
            <w:szCs w:val="24"/>
          </w:rPr>
          <w:t>https://doi.org/10.1177/14614448231191138</w:t>
        </w:r>
      </w:hyperlink>
      <w:r w:rsidRPr="00192176">
        <w:rPr>
          <w:szCs w:val="24"/>
        </w:rPr>
        <w:t>.</w:t>
      </w:r>
      <w:r>
        <w:rPr>
          <w:szCs w:val="24"/>
        </w:rPr>
        <w:t xml:space="preserve"> </w:t>
      </w:r>
    </w:p>
    <w:p w14:paraId="46486379" w14:textId="77777777" w:rsidR="007D0715" w:rsidRPr="00192176" w:rsidRDefault="007D0715" w:rsidP="007D0715">
      <w:pPr>
        <w:rPr>
          <w:szCs w:val="24"/>
        </w:rPr>
      </w:pPr>
    </w:p>
    <w:p w14:paraId="1EFDD8CC" w14:textId="605E99F0" w:rsidR="00C71986" w:rsidRPr="0093148C" w:rsidRDefault="00C71986" w:rsidP="007D0715">
      <w:pPr>
        <w:rPr>
          <w:rFonts w:eastAsia="Calibri" w:cs="Times New Roman"/>
          <w:color w:val="000000"/>
        </w:rPr>
      </w:pPr>
    </w:p>
    <w:sectPr w:rsidR="00C71986" w:rsidRPr="0093148C" w:rsidSect="004D6E51">
      <w:headerReference w:type="even" r:id="rId159"/>
      <w:footerReference w:type="even" r:id="rId160"/>
      <w:footerReference w:type="default" r:id="rId161"/>
      <w:headerReference w:type="first" r:id="rId162"/>
      <w:footerReference w:type="first" r:id="rId163"/>
      <w:pgSz w:w="11906" w:h="16838" w:code="9"/>
      <w:pgMar w:top="1440" w:right="1440" w:bottom="1440" w:left="1440"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4BFFF" w14:textId="77777777" w:rsidR="0027636E" w:rsidRDefault="0027636E" w:rsidP="00425B1D">
      <w:r>
        <w:separator/>
      </w:r>
    </w:p>
  </w:endnote>
  <w:endnote w:type="continuationSeparator" w:id="0">
    <w:p w14:paraId="77C8D083" w14:textId="77777777" w:rsidR="0027636E" w:rsidRDefault="0027636E" w:rsidP="00425B1D">
      <w:r>
        <w:continuationSeparator/>
      </w:r>
    </w:p>
  </w:endnote>
  <w:endnote w:type="continuationNotice" w:id="1">
    <w:p w14:paraId="48D150FA" w14:textId="77777777" w:rsidR="0027636E" w:rsidRDefault="0027636E" w:rsidP="00425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SemiBold">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A027" w14:textId="77777777" w:rsidR="00F26036" w:rsidRDefault="00F26036" w:rsidP="00425B1D">
    <w:pPr>
      <w:pStyle w:val="Footer"/>
    </w:pPr>
    <w:r>
      <w:rPr>
        <w:noProof/>
      </w:rPr>
      <mc:AlternateContent>
        <mc:Choice Requires="wps">
          <w:drawing>
            <wp:anchor distT="0" distB="0" distL="0" distR="0" simplePos="0" relativeHeight="251658241" behindDoc="0" locked="0" layoutInCell="1" allowOverlap="1" wp14:anchorId="125ECE03" wp14:editId="5A1205EE">
              <wp:simplePos x="635" y="635"/>
              <wp:positionH relativeFrom="page">
                <wp:align>center</wp:align>
              </wp:positionH>
              <wp:positionV relativeFrom="page">
                <wp:align>bottom</wp:align>
              </wp:positionV>
              <wp:extent cx="551815" cy="391160"/>
              <wp:effectExtent l="0" t="0" r="635" b="0"/>
              <wp:wrapNone/>
              <wp:docPr id="113842516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5AFEC31" w14:textId="77777777" w:rsidR="00F26036" w:rsidRPr="00F26036" w:rsidRDefault="00F26036" w:rsidP="00425B1D">
                          <w:pPr>
                            <w:rPr>
                              <w:noProof/>
                            </w:rPr>
                          </w:pPr>
                          <w:r w:rsidRPr="00F2603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D1F002C">
            <v:shapetype id="_x0000_t202" coordsize="21600,21600" o:spt="202" path="m,l,21600r21600,l21600,xe" w14:anchorId="125ECE03">
              <v:stroke joinstyle="miter"/>
              <v:path gradientshapeok="t" o:connecttype="rect"/>
            </v:shapetype>
            <v:shape id="Text Box 5"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v:textbox style="mso-fit-shape-to-text:t" inset="0,0,0,15pt">
                <w:txbxContent>
                  <w:p w:rsidRPr="00F26036" w:rsidR="00F26036" w:rsidP="00425B1D" w:rsidRDefault="00F26036" w14:paraId="09E77742" w14:textId="77777777">
                    <w:pPr>
                      <w:rPr>
                        <w:noProof/>
                      </w:rPr>
                    </w:pPr>
                    <w:r w:rsidRPr="00F26036">
                      <w:rPr>
                        <w:noProof/>
                      </w:rPr>
                      <w:t>OFFICIAL</w:t>
                    </w:r>
                  </w:p>
                </w:txbxContent>
              </v:textbox>
              <w10:wrap anchorx="page" anchory="page"/>
            </v:shape>
          </w:pict>
        </mc:Fallback>
      </mc:AlternateContent>
    </w:r>
  </w:p>
  <w:p w14:paraId="2469DC33" w14:textId="77777777" w:rsidR="00366BA0" w:rsidRDefault="00366BA0" w:rsidP="00425B1D"/>
  <w:p w14:paraId="0C3156D0" w14:textId="77777777" w:rsidR="00366BA0" w:rsidRDefault="00366BA0" w:rsidP="00425B1D"/>
  <w:p w14:paraId="5BDC2B93" w14:textId="77777777" w:rsidR="00366BA0" w:rsidRDefault="00366BA0" w:rsidP="00425B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EEEA" w14:textId="41596E48" w:rsidR="00FD5368" w:rsidRDefault="00FD5368" w:rsidP="00FD5368">
    <w:pPr>
      <w:pStyle w:val="Footer"/>
    </w:pPr>
    <w:r>
      <w:t xml:space="preserve">Information resilience: </w:t>
    </w:r>
    <w:r w:rsidR="00E93220">
      <w:t xml:space="preserve">a </w:t>
    </w:r>
    <w:r w:rsidRPr="00FD5368">
      <w:t>framework for misinformation interventions</w:t>
    </w:r>
  </w:p>
  <w:p w14:paraId="4ADA3F72" w14:textId="2197FE98" w:rsidR="00366BA0" w:rsidRPr="00FD5368" w:rsidRDefault="00FD5368" w:rsidP="00FD5368">
    <w:pPr>
      <w:pStyle w:val="Footer"/>
      <w:tabs>
        <w:tab w:val="clear" w:pos="4513"/>
      </w:tabs>
      <w:rPr>
        <w:noProof/>
      </w:rPr>
    </w:pPr>
    <w:r w:rsidRPr="00064924">
      <w:rPr>
        <w:b/>
        <w:bCs/>
        <w:color w:val="95C423" w:themeColor="accent2"/>
      </w:rPr>
      <w:t xml:space="preserve">| </w:t>
    </w:r>
    <w:r w:rsidRPr="1F7B4542">
      <w:rPr>
        <w:b/>
        <w:bCs/>
      </w:rPr>
      <w:t>chiefscientist</w:t>
    </w:r>
    <w:r w:rsidRPr="1F7B4542">
      <w:t>.gov.au</w:t>
    </w:r>
    <w:r>
      <w:tab/>
    </w:r>
    <w:sdt>
      <w:sdtPr>
        <w:id w:val="-1044901746"/>
        <w:docPartObj>
          <w:docPartGallery w:val="Page Numbers (Bottom of Page)"/>
          <w:docPartUnique/>
        </w:docPartObj>
      </w:sdtPr>
      <w:sdtEndPr>
        <w:rPr>
          <w:noProof/>
        </w:rPr>
      </w:sdtEndPr>
      <w:sdtContent>
        <w:r>
          <w:fldChar w:fldCharType="begin"/>
        </w:r>
        <w:r>
          <w:instrText xml:space="preserve"> PAGE  \* Arabic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ECB2" w14:textId="2741EF90" w:rsidR="00F26036" w:rsidRPr="00FD5368" w:rsidRDefault="00FD5368" w:rsidP="00FD5368">
    <w:pPr>
      <w:pStyle w:val="URL"/>
      <w:spacing w:after="320"/>
    </w:pPr>
    <w:r w:rsidRPr="00064924">
      <w:rPr>
        <w:b/>
        <w:bCs/>
        <w:color w:val="95C423" w:themeColor="accent2"/>
        <w:sz w:val="36"/>
        <w:szCs w:val="28"/>
      </w:rPr>
      <w:t>|</w:t>
    </w:r>
    <w:r w:rsidRPr="00064924">
      <w:rPr>
        <w:b/>
        <w:bCs/>
      </w:rPr>
      <w:t xml:space="preserve"> chiefscientist</w:t>
    </w:r>
    <w:r>
      <w:t>.gov.au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41037" w14:textId="77777777" w:rsidR="0027636E" w:rsidRDefault="0027636E" w:rsidP="00425B1D">
      <w:r>
        <w:separator/>
      </w:r>
    </w:p>
  </w:footnote>
  <w:footnote w:type="continuationSeparator" w:id="0">
    <w:p w14:paraId="22B03F5E" w14:textId="77777777" w:rsidR="0027636E" w:rsidRDefault="0027636E" w:rsidP="00425B1D">
      <w:r>
        <w:continuationSeparator/>
      </w:r>
    </w:p>
  </w:footnote>
  <w:footnote w:type="continuationNotice" w:id="1">
    <w:p w14:paraId="49E5046F" w14:textId="77777777" w:rsidR="0027636E" w:rsidRDefault="0027636E" w:rsidP="00425B1D"/>
  </w:footnote>
  <w:footnote w:id="2">
    <w:p w14:paraId="71B6A31D" w14:textId="77777777" w:rsidR="00F025A3" w:rsidRPr="00F025A3" w:rsidRDefault="00F025A3">
      <w:pPr>
        <w:pStyle w:val="FootnoteText"/>
      </w:pPr>
      <w:r>
        <w:rPr>
          <w:rStyle w:val="FootnoteReference"/>
        </w:rPr>
        <w:footnoteRef/>
      </w:r>
      <w:r>
        <w:t xml:space="preserve"> </w:t>
      </w:r>
      <w:r w:rsidRPr="00F025A3">
        <w:rPr>
          <w:lang w:val="en-GB"/>
        </w:rPr>
        <w:t xml:space="preserve">See </w:t>
      </w:r>
      <w:hyperlink r:id="rId1" w:history="1">
        <w:r w:rsidRPr="00BB0FE8">
          <w:rPr>
            <w:rStyle w:val="Hyperlink"/>
          </w:rPr>
          <w:t>https://www.dfat.gov.au/news/media-release/global-declaration-information-integrity-online</w:t>
        </w:r>
      </w:hyperlink>
      <w:r>
        <w:rPr>
          <w:lang w:val="en-GB"/>
        </w:rPr>
        <w:t xml:space="preserve"> </w:t>
      </w:r>
    </w:p>
  </w:footnote>
  <w:footnote w:id="3">
    <w:p w14:paraId="069C8E8B" w14:textId="77777777" w:rsidR="00424334" w:rsidRPr="00424334" w:rsidRDefault="00424334">
      <w:pPr>
        <w:pStyle w:val="FootnoteText"/>
      </w:pPr>
      <w:r>
        <w:rPr>
          <w:rStyle w:val="FootnoteReference"/>
        </w:rPr>
        <w:footnoteRef/>
      </w:r>
      <w:r>
        <w:t xml:space="preserve"> </w:t>
      </w:r>
      <w:hyperlink r:id="rId2">
        <w:r w:rsidRPr="00424334">
          <w:rPr>
            <w:rStyle w:val="Hyperlink"/>
            <w:lang w:val="en-GB"/>
          </w:rPr>
          <w:t>https://medialiteracy.org.au/media-literacy-framework/</w:t>
        </w:r>
      </w:hyperlink>
    </w:p>
  </w:footnote>
  <w:footnote w:id="4">
    <w:p w14:paraId="277F32E4" w14:textId="041F2D74" w:rsidR="00424334" w:rsidRPr="00333BE7" w:rsidRDefault="00424334">
      <w:pPr>
        <w:pStyle w:val="FootnoteText"/>
        <w:rPr>
          <w:lang w:val="en-GB"/>
        </w:rPr>
      </w:pPr>
      <w:r>
        <w:rPr>
          <w:rStyle w:val="FootnoteReference"/>
        </w:rPr>
        <w:footnoteRef/>
      </w:r>
      <w:r>
        <w:t xml:space="preserve"> </w:t>
      </w:r>
      <w:r w:rsidRPr="00424334">
        <w:rPr>
          <w:lang w:val="en-GB"/>
        </w:rPr>
        <w:t>Notable examples are the AMLA media-literacy framework, which has been adopted by</w:t>
      </w:r>
      <w:hyperlink r:id="rId3">
        <w:r w:rsidRPr="00424334">
          <w:rPr>
            <w:rStyle w:val="Hyperlink"/>
            <w:lang w:val="en-GB"/>
          </w:rPr>
          <w:t xml:space="preserve"> </w:t>
        </w:r>
      </w:hyperlink>
      <w:hyperlink r:id="rId4">
        <w:r w:rsidRPr="00424334">
          <w:rPr>
            <w:rStyle w:val="Hyperlink"/>
            <w:lang w:val="en-GB"/>
          </w:rPr>
          <w:t>SquizKids NewsHounds curriculum</w:t>
        </w:r>
      </w:hyperlink>
      <w:r w:rsidRPr="00424334">
        <w:rPr>
          <w:lang w:val="en-GB"/>
        </w:rPr>
        <w:t xml:space="preserve"> for primary schools across Years 1</w:t>
      </w:r>
      <w:r w:rsidR="00E831FD">
        <w:rPr>
          <w:lang w:val="en-GB"/>
        </w:rPr>
        <w:t>–</w:t>
      </w:r>
      <w:r w:rsidRPr="00424334">
        <w:rPr>
          <w:lang w:val="en-GB"/>
        </w:rPr>
        <w:t xml:space="preserve">6; the National Film and Sound Archive of Australia’s MediaMe </w:t>
      </w:r>
      <w:hyperlink r:id="rId5">
        <w:r w:rsidRPr="00424334">
          <w:rPr>
            <w:rStyle w:val="Hyperlink"/>
            <w:lang w:val="en-GB"/>
          </w:rPr>
          <w:t>Media Literacy program</w:t>
        </w:r>
      </w:hyperlink>
      <w:r w:rsidRPr="00424334">
        <w:rPr>
          <w:lang w:val="en-GB"/>
        </w:rPr>
        <w:t>; and the</w:t>
      </w:r>
      <w:hyperlink r:id="rId6">
        <w:r w:rsidRPr="00424334">
          <w:rPr>
            <w:rStyle w:val="Hyperlink"/>
            <w:lang w:val="en-GB"/>
          </w:rPr>
          <w:t xml:space="preserve"> </w:t>
        </w:r>
      </w:hyperlink>
      <w:hyperlink r:id="rId7">
        <w:r w:rsidRPr="00424334">
          <w:rPr>
            <w:rStyle w:val="Hyperlink"/>
            <w:lang w:val="en-GB"/>
          </w:rPr>
          <w:t>ABC Education’s Media Literacy resources</w:t>
        </w:r>
      </w:hyperlink>
      <w:r w:rsidRPr="00424334">
        <w:rPr>
          <w:lang w:val="en-GB"/>
        </w:rPr>
        <w:t>. However, whilst all these resources are very useful, none have been formally evaluated.</w:t>
      </w:r>
    </w:p>
  </w:footnote>
  <w:footnote w:id="5">
    <w:p w14:paraId="55D018F0" w14:textId="0C29F8D9" w:rsidR="00424334" w:rsidRPr="00424334" w:rsidRDefault="00424334">
      <w:pPr>
        <w:pStyle w:val="FootnoteText"/>
      </w:pPr>
      <w:r>
        <w:rPr>
          <w:rStyle w:val="FootnoteReference"/>
        </w:rPr>
        <w:footnoteRef/>
      </w:r>
      <w:r>
        <w:t xml:space="preserve"> </w:t>
      </w:r>
      <w:r w:rsidRPr="0093148C">
        <w:t xml:space="preserve">Ministry of Education and Research (Estonia). </w:t>
      </w:r>
      <w:hyperlink r:id="rId8" w:history="1">
        <w:r w:rsidR="00567311" w:rsidRPr="005E2E32">
          <w:rPr>
            <w:rStyle w:val="Hyperlink"/>
          </w:rPr>
          <w:t>https://sisuloome.e-koolikott.ee/</w:t>
        </w:r>
      </w:hyperlink>
      <w:r w:rsidR="00567311">
        <w:t xml:space="preserve"> </w:t>
      </w:r>
    </w:p>
  </w:footnote>
  <w:footnote w:id="6">
    <w:p w14:paraId="2B598D4D" w14:textId="2D08C203" w:rsidR="00424334" w:rsidRPr="00424334" w:rsidRDefault="00424334">
      <w:pPr>
        <w:pStyle w:val="FootnoteText"/>
      </w:pPr>
      <w:r>
        <w:rPr>
          <w:rStyle w:val="FootnoteReference"/>
        </w:rPr>
        <w:footnoteRef/>
      </w:r>
      <w:r>
        <w:t xml:space="preserve"> </w:t>
      </w:r>
      <w:r w:rsidRPr="0093148C">
        <w:t xml:space="preserve">A 2024 survey of Australian adults asked what media and information literacy skills respondents wanted, and how they wanted to acquire them: for more than half the adult population the top three topics were </w:t>
      </w:r>
      <w:r w:rsidR="000822DE">
        <w:t>‘</w:t>
      </w:r>
      <w:r w:rsidRPr="0093148C">
        <w:t>how to protect myself from harms</w:t>
      </w:r>
      <w:r w:rsidR="000822DE">
        <w:t>’</w:t>
      </w:r>
      <w:r w:rsidRPr="0093148C">
        <w:t xml:space="preserve">; </w:t>
      </w:r>
      <w:r w:rsidR="000822DE">
        <w:t>‘</w:t>
      </w:r>
      <w:r w:rsidRPr="0093148C">
        <w:t>how to identify misinformation online</w:t>
      </w:r>
      <w:r w:rsidR="000822DE">
        <w:t>’</w:t>
      </w:r>
      <w:r w:rsidRPr="0093148C">
        <w:t xml:space="preserve"> and </w:t>
      </w:r>
      <w:r w:rsidR="000822DE">
        <w:t>‘</w:t>
      </w:r>
      <w:r w:rsidRPr="0093148C">
        <w:t>how to identify high quality news and information sources</w:t>
      </w:r>
      <w:r w:rsidR="000822DE">
        <w:t>’</w:t>
      </w:r>
      <w:r w:rsidRPr="0093148C">
        <w:t>. Preferred means include online tutorials, followed by short YouTube/TikTok videos; older Australians favoured libraries (see Notley et al.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67EB" w14:textId="77777777" w:rsidR="00F26036" w:rsidRDefault="00F26036" w:rsidP="00425B1D">
    <w:pPr>
      <w:pStyle w:val="Header"/>
    </w:pPr>
    <w:r>
      <w:rPr>
        <w:noProof/>
      </w:rPr>
      <mc:AlternateContent>
        <mc:Choice Requires="wps">
          <w:drawing>
            <wp:anchor distT="0" distB="0" distL="0" distR="0" simplePos="0" relativeHeight="251658240" behindDoc="0" locked="0" layoutInCell="1" allowOverlap="1" wp14:anchorId="62930380" wp14:editId="3CFA245C">
              <wp:simplePos x="635" y="635"/>
              <wp:positionH relativeFrom="page">
                <wp:align>center</wp:align>
              </wp:positionH>
              <wp:positionV relativeFrom="page">
                <wp:align>top</wp:align>
              </wp:positionV>
              <wp:extent cx="551815" cy="391160"/>
              <wp:effectExtent l="0" t="0" r="635" b="8890"/>
              <wp:wrapNone/>
              <wp:docPr id="14868341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867DA27" w14:textId="77777777" w:rsidR="00F26036" w:rsidRPr="00F26036" w:rsidRDefault="00F26036" w:rsidP="00425B1D">
                          <w:pPr>
                            <w:rPr>
                              <w:noProof/>
                            </w:rPr>
                          </w:pPr>
                          <w:r w:rsidRPr="00F26036">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907B472">
            <v:shapetype id="_x0000_t202" coordsize="21600,21600" o:spt="202" path="m,l,21600r21600,l21600,xe" w14:anchorId="62930380">
              <v:stroke joinstyle="miter"/>
              <v:path gradientshapeok="t" o:connecttype="rect"/>
            </v:shapetype>
            <v:shape id="Text Box 2"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v:textbox style="mso-fit-shape-to-text:t" inset="0,15pt,0,0">
                <w:txbxContent>
                  <w:p w:rsidRPr="00F26036" w:rsidR="00F26036" w:rsidP="00425B1D" w:rsidRDefault="00F26036" w14:paraId="08CE8BEA" w14:textId="77777777">
                    <w:pPr>
                      <w:rPr>
                        <w:noProof/>
                      </w:rPr>
                    </w:pPr>
                    <w:r w:rsidRPr="00F26036">
                      <w:rPr>
                        <w:noProof/>
                      </w:rPr>
                      <w:t>OFFICIAL</w:t>
                    </w:r>
                  </w:p>
                </w:txbxContent>
              </v:textbox>
              <w10:wrap anchorx="page" anchory="page"/>
            </v:shape>
          </w:pict>
        </mc:Fallback>
      </mc:AlternateContent>
    </w:r>
  </w:p>
  <w:p w14:paraId="6B4A56F8" w14:textId="77777777" w:rsidR="00366BA0" w:rsidRDefault="00366BA0" w:rsidP="00425B1D"/>
  <w:p w14:paraId="1DF75592" w14:textId="77777777" w:rsidR="00366BA0" w:rsidRDefault="00366BA0" w:rsidP="00425B1D"/>
  <w:p w14:paraId="349A749E" w14:textId="77777777" w:rsidR="00366BA0" w:rsidRDefault="00366BA0" w:rsidP="00425B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87C0F" w14:textId="6D20BA78" w:rsidR="00F26036" w:rsidRPr="00FD5368" w:rsidRDefault="00FD5368" w:rsidP="00FD5368">
    <w:pPr>
      <w:pStyle w:val="Header"/>
      <w:tabs>
        <w:tab w:val="clear" w:pos="4513"/>
        <w:tab w:val="clear" w:pos="9026"/>
        <w:tab w:val="left" w:pos="5580"/>
      </w:tabs>
    </w:pPr>
    <w:r w:rsidRPr="001E3B58">
      <w:rPr>
        <w:rStyle w:val="Strong"/>
        <w:noProof/>
      </w:rPr>
      <w:drawing>
        <wp:anchor distT="0" distB="0" distL="114300" distR="114300" simplePos="0" relativeHeight="251658242" behindDoc="1" locked="1" layoutInCell="1" allowOverlap="1" wp14:anchorId="159790C0" wp14:editId="63E6A235">
          <wp:simplePos x="0" y="0"/>
          <wp:positionH relativeFrom="page">
            <wp:align>center</wp:align>
          </wp:positionH>
          <wp:positionV relativeFrom="page">
            <wp:align>top</wp:align>
          </wp:positionV>
          <wp:extent cx="7563600" cy="10692000"/>
          <wp:effectExtent l="0" t="0" r="0" b="0"/>
          <wp:wrapNone/>
          <wp:docPr id="7076934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934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F27F1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4848F4"/>
    <w:multiLevelType w:val="multilevel"/>
    <w:tmpl w:val="735273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7E5932"/>
    <w:multiLevelType w:val="hybridMultilevel"/>
    <w:tmpl w:val="5F082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8CBE2"/>
    <w:multiLevelType w:val="hybridMultilevel"/>
    <w:tmpl w:val="FFFFFFFF"/>
    <w:lvl w:ilvl="0" w:tplc="27D09DDE">
      <w:start w:val="1"/>
      <w:numFmt w:val="bullet"/>
      <w:lvlText w:val=""/>
      <w:lvlJc w:val="left"/>
      <w:pPr>
        <w:ind w:left="720" w:hanging="360"/>
      </w:pPr>
      <w:rPr>
        <w:rFonts w:ascii="Symbol" w:hAnsi="Symbol" w:hint="default"/>
      </w:rPr>
    </w:lvl>
    <w:lvl w:ilvl="1" w:tplc="C00E5B1A">
      <w:start w:val="1"/>
      <w:numFmt w:val="bullet"/>
      <w:lvlText w:val="o"/>
      <w:lvlJc w:val="left"/>
      <w:pPr>
        <w:ind w:left="1440" w:hanging="360"/>
      </w:pPr>
      <w:rPr>
        <w:rFonts w:ascii="Courier New" w:hAnsi="Courier New" w:hint="default"/>
      </w:rPr>
    </w:lvl>
    <w:lvl w:ilvl="2" w:tplc="4CDCEE08">
      <w:start w:val="1"/>
      <w:numFmt w:val="bullet"/>
      <w:lvlText w:val=""/>
      <w:lvlJc w:val="left"/>
      <w:pPr>
        <w:ind w:left="2160" w:hanging="360"/>
      </w:pPr>
      <w:rPr>
        <w:rFonts w:ascii="Wingdings" w:hAnsi="Wingdings" w:hint="default"/>
      </w:rPr>
    </w:lvl>
    <w:lvl w:ilvl="3" w:tplc="50A6653C">
      <w:start w:val="1"/>
      <w:numFmt w:val="bullet"/>
      <w:lvlText w:val=""/>
      <w:lvlJc w:val="left"/>
      <w:pPr>
        <w:ind w:left="2880" w:hanging="360"/>
      </w:pPr>
      <w:rPr>
        <w:rFonts w:ascii="Symbol" w:hAnsi="Symbol" w:hint="default"/>
      </w:rPr>
    </w:lvl>
    <w:lvl w:ilvl="4" w:tplc="27C8B246">
      <w:start w:val="1"/>
      <w:numFmt w:val="bullet"/>
      <w:lvlText w:val="o"/>
      <w:lvlJc w:val="left"/>
      <w:pPr>
        <w:ind w:left="3600" w:hanging="360"/>
      </w:pPr>
      <w:rPr>
        <w:rFonts w:ascii="Courier New" w:hAnsi="Courier New" w:hint="default"/>
      </w:rPr>
    </w:lvl>
    <w:lvl w:ilvl="5" w:tplc="D0A62C5E">
      <w:start w:val="1"/>
      <w:numFmt w:val="bullet"/>
      <w:lvlText w:val=""/>
      <w:lvlJc w:val="left"/>
      <w:pPr>
        <w:ind w:left="4320" w:hanging="360"/>
      </w:pPr>
      <w:rPr>
        <w:rFonts w:ascii="Wingdings" w:hAnsi="Wingdings" w:hint="default"/>
      </w:rPr>
    </w:lvl>
    <w:lvl w:ilvl="6" w:tplc="8FD8EFF0">
      <w:start w:val="1"/>
      <w:numFmt w:val="bullet"/>
      <w:lvlText w:val=""/>
      <w:lvlJc w:val="left"/>
      <w:pPr>
        <w:ind w:left="5040" w:hanging="360"/>
      </w:pPr>
      <w:rPr>
        <w:rFonts w:ascii="Symbol" w:hAnsi="Symbol" w:hint="default"/>
      </w:rPr>
    </w:lvl>
    <w:lvl w:ilvl="7" w:tplc="8FAACE48">
      <w:start w:val="1"/>
      <w:numFmt w:val="bullet"/>
      <w:lvlText w:val="o"/>
      <w:lvlJc w:val="left"/>
      <w:pPr>
        <w:ind w:left="5760" w:hanging="360"/>
      </w:pPr>
      <w:rPr>
        <w:rFonts w:ascii="Courier New" w:hAnsi="Courier New" w:hint="default"/>
      </w:rPr>
    </w:lvl>
    <w:lvl w:ilvl="8" w:tplc="4CC8E6BA">
      <w:start w:val="1"/>
      <w:numFmt w:val="bullet"/>
      <w:lvlText w:val=""/>
      <w:lvlJc w:val="left"/>
      <w:pPr>
        <w:ind w:left="6480" w:hanging="360"/>
      </w:pPr>
      <w:rPr>
        <w:rFonts w:ascii="Wingdings" w:hAnsi="Wingdings" w:hint="default"/>
      </w:rPr>
    </w:lvl>
  </w:abstractNum>
  <w:abstractNum w:abstractNumId="7"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991EEE"/>
    <w:multiLevelType w:val="multilevel"/>
    <w:tmpl w:val="F1C22C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none"/>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840605"/>
    <w:multiLevelType w:val="multilevel"/>
    <w:tmpl w:val="0C0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BAD5BD"/>
    <w:multiLevelType w:val="hybridMultilevel"/>
    <w:tmpl w:val="FFFFFFFF"/>
    <w:lvl w:ilvl="0" w:tplc="C124FC64">
      <w:start w:val="1"/>
      <w:numFmt w:val="bullet"/>
      <w:lvlText w:val=""/>
      <w:lvlJc w:val="left"/>
      <w:pPr>
        <w:ind w:left="720" w:hanging="360"/>
      </w:pPr>
      <w:rPr>
        <w:rFonts w:ascii="Symbol" w:hAnsi="Symbol" w:hint="default"/>
      </w:rPr>
    </w:lvl>
    <w:lvl w:ilvl="1" w:tplc="3FEA498E">
      <w:start w:val="1"/>
      <w:numFmt w:val="bullet"/>
      <w:lvlText w:val="o"/>
      <w:lvlJc w:val="left"/>
      <w:pPr>
        <w:ind w:left="1440" w:hanging="360"/>
      </w:pPr>
      <w:rPr>
        <w:rFonts w:ascii="Courier New" w:hAnsi="Courier New" w:hint="default"/>
      </w:rPr>
    </w:lvl>
    <w:lvl w:ilvl="2" w:tplc="3CF05324">
      <w:start w:val="1"/>
      <w:numFmt w:val="bullet"/>
      <w:lvlText w:val=""/>
      <w:lvlJc w:val="left"/>
      <w:pPr>
        <w:ind w:left="2160" w:hanging="360"/>
      </w:pPr>
      <w:rPr>
        <w:rFonts w:ascii="Wingdings" w:hAnsi="Wingdings" w:hint="default"/>
      </w:rPr>
    </w:lvl>
    <w:lvl w:ilvl="3" w:tplc="1DE41A14">
      <w:start w:val="1"/>
      <w:numFmt w:val="bullet"/>
      <w:lvlText w:val=""/>
      <w:lvlJc w:val="left"/>
      <w:pPr>
        <w:ind w:left="2880" w:hanging="360"/>
      </w:pPr>
      <w:rPr>
        <w:rFonts w:ascii="Symbol" w:hAnsi="Symbol" w:hint="default"/>
      </w:rPr>
    </w:lvl>
    <w:lvl w:ilvl="4" w:tplc="C98ED20E">
      <w:start w:val="1"/>
      <w:numFmt w:val="bullet"/>
      <w:lvlText w:val="o"/>
      <w:lvlJc w:val="left"/>
      <w:pPr>
        <w:ind w:left="3600" w:hanging="360"/>
      </w:pPr>
      <w:rPr>
        <w:rFonts w:ascii="Courier New" w:hAnsi="Courier New" w:hint="default"/>
      </w:rPr>
    </w:lvl>
    <w:lvl w:ilvl="5" w:tplc="E5A81ADC">
      <w:start w:val="1"/>
      <w:numFmt w:val="bullet"/>
      <w:lvlText w:val=""/>
      <w:lvlJc w:val="left"/>
      <w:pPr>
        <w:ind w:left="4320" w:hanging="360"/>
      </w:pPr>
      <w:rPr>
        <w:rFonts w:ascii="Wingdings" w:hAnsi="Wingdings" w:hint="default"/>
      </w:rPr>
    </w:lvl>
    <w:lvl w:ilvl="6" w:tplc="BFDA9948">
      <w:start w:val="1"/>
      <w:numFmt w:val="bullet"/>
      <w:lvlText w:val=""/>
      <w:lvlJc w:val="left"/>
      <w:pPr>
        <w:ind w:left="5040" w:hanging="360"/>
      </w:pPr>
      <w:rPr>
        <w:rFonts w:ascii="Symbol" w:hAnsi="Symbol" w:hint="default"/>
      </w:rPr>
    </w:lvl>
    <w:lvl w:ilvl="7" w:tplc="08088CC2">
      <w:start w:val="1"/>
      <w:numFmt w:val="bullet"/>
      <w:lvlText w:val="o"/>
      <w:lvlJc w:val="left"/>
      <w:pPr>
        <w:ind w:left="5760" w:hanging="360"/>
      </w:pPr>
      <w:rPr>
        <w:rFonts w:ascii="Courier New" w:hAnsi="Courier New" w:hint="default"/>
      </w:rPr>
    </w:lvl>
    <w:lvl w:ilvl="8" w:tplc="6B46B7C2">
      <w:start w:val="1"/>
      <w:numFmt w:val="bullet"/>
      <w:lvlText w:val=""/>
      <w:lvlJc w:val="left"/>
      <w:pPr>
        <w:ind w:left="6480" w:hanging="360"/>
      </w:pPr>
      <w:rPr>
        <w:rFonts w:ascii="Wingdings" w:hAnsi="Wingdings" w:hint="default"/>
      </w:rPr>
    </w:lvl>
  </w:abstractNum>
  <w:abstractNum w:abstractNumId="12" w15:restartNumberingAfterBreak="0">
    <w:nsid w:val="22357836"/>
    <w:multiLevelType w:val="hybridMultilevel"/>
    <w:tmpl w:val="031CB950"/>
    <w:lvl w:ilvl="0" w:tplc="880003D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2ECA1E"/>
    <w:multiLevelType w:val="hybridMultilevel"/>
    <w:tmpl w:val="FFFFFFFF"/>
    <w:lvl w:ilvl="0" w:tplc="AAD668CC">
      <w:start w:val="1"/>
      <w:numFmt w:val="bullet"/>
      <w:lvlText w:val=""/>
      <w:lvlJc w:val="left"/>
      <w:pPr>
        <w:ind w:left="720" w:hanging="360"/>
      </w:pPr>
      <w:rPr>
        <w:rFonts w:ascii="Symbol" w:hAnsi="Symbol" w:hint="default"/>
      </w:rPr>
    </w:lvl>
    <w:lvl w:ilvl="1" w:tplc="B5D89092">
      <w:start w:val="1"/>
      <w:numFmt w:val="bullet"/>
      <w:lvlText w:val="o"/>
      <w:lvlJc w:val="left"/>
      <w:pPr>
        <w:ind w:left="1440" w:hanging="360"/>
      </w:pPr>
      <w:rPr>
        <w:rFonts w:ascii="Courier New" w:hAnsi="Courier New" w:hint="default"/>
      </w:rPr>
    </w:lvl>
    <w:lvl w:ilvl="2" w:tplc="DD5CCDC2">
      <w:start w:val="1"/>
      <w:numFmt w:val="bullet"/>
      <w:lvlText w:val=""/>
      <w:lvlJc w:val="left"/>
      <w:pPr>
        <w:ind w:left="2160" w:hanging="360"/>
      </w:pPr>
      <w:rPr>
        <w:rFonts w:ascii="Wingdings" w:hAnsi="Wingdings" w:hint="default"/>
      </w:rPr>
    </w:lvl>
    <w:lvl w:ilvl="3" w:tplc="0CB87564">
      <w:start w:val="1"/>
      <w:numFmt w:val="bullet"/>
      <w:lvlText w:val=""/>
      <w:lvlJc w:val="left"/>
      <w:pPr>
        <w:ind w:left="2880" w:hanging="360"/>
      </w:pPr>
      <w:rPr>
        <w:rFonts w:ascii="Symbol" w:hAnsi="Symbol" w:hint="default"/>
      </w:rPr>
    </w:lvl>
    <w:lvl w:ilvl="4" w:tplc="FAC88B86">
      <w:start w:val="1"/>
      <w:numFmt w:val="bullet"/>
      <w:lvlText w:val="o"/>
      <w:lvlJc w:val="left"/>
      <w:pPr>
        <w:ind w:left="3600" w:hanging="360"/>
      </w:pPr>
      <w:rPr>
        <w:rFonts w:ascii="Courier New" w:hAnsi="Courier New" w:hint="default"/>
      </w:rPr>
    </w:lvl>
    <w:lvl w:ilvl="5" w:tplc="3B024356">
      <w:start w:val="1"/>
      <w:numFmt w:val="bullet"/>
      <w:lvlText w:val=""/>
      <w:lvlJc w:val="left"/>
      <w:pPr>
        <w:ind w:left="4320" w:hanging="360"/>
      </w:pPr>
      <w:rPr>
        <w:rFonts w:ascii="Wingdings" w:hAnsi="Wingdings" w:hint="default"/>
      </w:rPr>
    </w:lvl>
    <w:lvl w:ilvl="6" w:tplc="B79EC42C">
      <w:start w:val="1"/>
      <w:numFmt w:val="bullet"/>
      <w:lvlText w:val=""/>
      <w:lvlJc w:val="left"/>
      <w:pPr>
        <w:ind w:left="5040" w:hanging="360"/>
      </w:pPr>
      <w:rPr>
        <w:rFonts w:ascii="Symbol" w:hAnsi="Symbol" w:hint="default"/>
      </w:rPr>
    </w:lvl>
    <w:lvl w:ilvl="7" w:tplc="4106DD40">
      <w:start w:val="1"/>
      <w:numFmt w:val="bullet"/>
      <w:lvlText w:val="o"/>
      <w:lvlJc w:val="left"/>
      <w:pPr>
        <w:ind w:left="5760" w:hanging="360"/>
      </w:pPr>
      <w:rPr>
        <w:rFonts w:ascii="Courier New" w:hAnsi="Courier New" w:hint="default"/>
      </w:rPr>
    </w:lvl>
    <w:lvl w:ilvl="8" w:tplc="97A40C02">
      <w:start w:val="1"/>
      <w:numFmt w:val="bullet"/>
      <w:lvlText w:val=""/>
      <w:lvlJc w:val="left"/>
      <w:pPr>
        <w:ind w:left="6480" w:hanging="360"/>
      </w:pPr>
      <w:rPr>
        <w:rFonts w:ascii="Wingdings" w:hAnsi="Wingdings" w:hint="default"/>
      </w:rPr>
    </w:lvl>
  </w:abstractNum>
  <w:abstractNum w:abstractNumId="15" w15:restartNumberingAfterBreak="0">
    <w:nsid w:val="262C111A"/>
    <w:multiLevelType w:val="multilevel"/>
    <w:tmpl w:val="78CEFB60"/>
    <w:lvl w:ilvl="0">
      <w:start w:val="1"/>
      <w:numFmt w:val="bullet"/>
      <w:lvlText w:val=""/>
      <w:lvlJc w:val="left"/>
      <w:pPr>
        <w:ind w:left="567" w:hanging="567"/>
      </w:pPr>
      <w:rPr>
        <w:rFonts w:ascii="Symbol" w:hAnsi="Symbol" w:hint="default"/>
      </w:rPr>
    </w:lvl>
    <w:lvl w:ilvl="1">
      <w:start w:val="1"/>
      <w:numFmt w:val="bullet"/>
      <w:lvlText w:val="–"/>
      <w:lvlJc w:val="left"/>
      <w:pPr>
        <w:ind w:left="1134" w:hanging="567"/>
      </w:pPr>
      <w:rPr>
        <w:rFonts w:ascii="Aptos" w:hAnsi="Aptos"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6" w15:restartNumberingAfterBreak="0">
    <w:nsid w:val="2A7B659F"/>
    <w:multiLevelType w:val="hybridMultilevel"/>
    <w:tmpl w:val="C6567D36"/>
    <w:lvl w:ilvl="0" w:tplc="57C6AD76">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B12ED0"/>
    <w:multiLevelType w:val="hybridMultilevel"/>
    <w:tmpl w:val="C5365A0E"/>
    <w:lvl w:ilvl="0" w:tplc="546E7C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BE56CB"/>
    <w:multiLevelType w:val="hybridMultilevel"/>
    <w:tmpl w:val="C7B87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EC3D6C"/>
    <w:multiLevelType w:val="multilevel"/>
    <w:tmpl w:val="F1C22C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none"/>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AC25D4"/>
    <w:multiLevelType w:val="hybridMultilevel"/>
    <w:tmpl w:val="22DEEA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1266E2"/>
    <w:multiLevelType w:val="multilevel"/>
    <w:tmpl w:val="30860390"/>
    <w:lvl w:ilvl="0">
      <w:start w:val="1"/>
      <w:numFmt w:val="decimal"/>
      <w:pStyle w:val="Heading2Numbered"/>
      <w:lvlText w:val="%1"/>
      <w:lvlJc w:val="left"/>
      <w:pPr>
        <w:ind w:left="851" w:hanging="851"/>
      </w:pPr>
      <w:rPr>
        <w:rFonts w:hint="default"/>
      </w:rPr>
    </w:lvl>
    <w:lvl w:ilvl="1">
      <w:start w:val="1"/>
      <w:numFmt w:val="decimal"/>
      <w:pStyle w:val="Heading3Numbered"/>
      <w:lvlText w:val="%1.%2"/>
      <w:lvlJc w:val="left"/>
      <w:pPr>
        <w:ind w:left="851" w:hanging="851"/>
      </w:pPr>
      <w:rPr>
        <w:rFonts w:hint="default"/>
      </w:rPr>
    </w:lvl>
    <w:lvl w:ilvl="2">
      <w:start w:val="1"/>
      <w:numFmt w:val="decimal"/>
      <w:pStyle w:val="Heading4Numbered"/>
      <w:lvlText w:val="%1.%2.%3"/>
      <w:lvlJc w:val="left"/>
      <w:pPr>
        <w:ind w:left="851" w:hanging="851"/>
      </w:p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3"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9F2CAA"/>
    <w:multiLevelType w:val="hybridMultilevel"/>
    <w:tmpl w:val="FCA29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E02021"/>
    <w:multiLevelType w:val="hybridMultilevel"/>
    <w:tmpl w:val="B6208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1274B7"/>
    <w:multiLevelType w:val="hybridMultilevel"/>
    <w:tmpl w:val="9CF298A6"/>
    <w:lvl w:ilvl="0" w:tplc="80F2390C">
      <w:start w:val="1"/>
      <w:numFmt w:val="bullet"/>
      <w:pStyle w:val="Prelims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C75EA1"/>
    <w:multiLevelType w:val="hybridMultilevel"/>
    <w:tmpl w:val="21842710"/>
    <w:lvl w:ilvl="0" w:tplc="46AE137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2E10FD"/>
    <w:multiLevelType w:val="multilevel"/>
    <w:tmpl w:val="F844DDB0"/>
    <w:lvl w:ilvl="0">
      <w:numFmt w:val="bullet"/>
      <w:pStyle w:val="ListParagraph"/>
      <w:lvlText w:val=""/>
      <w:lvlJc w:val="left"/>
      <w:pPr>
        <w:ind w:left="567" w:hanging="567"/>
      </w:pPr>
      <w:rPr>
        <w:rFonts w:ascii="Symbol" w:hAnsi="Symbol" w:hint="default"/>
      </w:rPr>
    </w:lvl>
    <w:lvl w:ilvl="1">
      <w:numFmt w:val="bullet"/>
      <w:lvlText w:val="-"/>
      <w:lvlJc w:val="left"/>
      <w:pPr>
        <w:ind w:left="1134" w:hanging="567"/>
      </w:pPr>
      <w:rPr>
        <w:rFonts w:ascii="Calibri" w:eastAsiaTheme="minorHAnsi" w:hAnsi="Calibri"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77507A"/>
    <w:multiLevelType w:val="multilevel"/>
    <w:tmpl w:val="09A088DC"/>
    <w:lvl w:ilvl="0">
      <w:start w:val="1"/>
      <w:numFmt w:val="bullet"/>
      <w:pStyle w:val="TableBullets"/>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1" w15:restartNumberingAfterBreak="0">
    <w:nsid w:val="567F14C3"/>
    <w:multiLevelType w:val="hybridMultilevel"/>
    <w:tmpl w:val="0E52BC4A"/>
    <w:lvl w:ilvl="0" w:tplc="9E78F1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A5424D3"/>
    <w:multiLevelType w:val="multilevel"/>
    <w:tmpl w:val="F1C22C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none"/>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AAA71C2"/>
    <w:multiLevelType w:val="hybridMultilevel"/>
    <w:tmpl w:val="3F1C9F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F7042D3"/>
    <w:multiLevelType w:val="hybridMultilevel"/>
    <w:tmpl w:val="FFFFFFFF"/>
    <w:lvl w:ilvl="0" w:tplc="D5142050">
      <w:start w:val="1"/>
      <w:numFmt w:val="bullet"/>
      <w:lvlText w:val=""/>
      <w:lvlJc w:val="left"/>
      <w:pPr>
        <w:ind w:left="720" w:hanging="360"/>
      </w:pPr>
      <w:rPr>
        <w:rFonts w:ascii="Symbol" w:hAnsi="Symbol" w:hint="default"/>
      </w:rPr>
    </w:lvl>
    <w:lvl w:ilvl="1" w:tplc="EBD2664A">
      <w:start w:val="1"/>
      <w:numFmt w:val="bullet"/>
      <w:lvlText w:val="o"/>
      <w:lvlJc w:val="left"/>
      <w:pPr>
        <w:ind w:left="1440" w:hanging="360"/>
      </w:pPr>
      <w:rPr>
        <w:rFonts w:ascii="Courier New" w:hAnsi="Courier New" w:hint="default"/>
      </w:rPr>
    </w:lvl>
    <w:lvl w:ilvl="2" w:tplc="A7726CD6">
      <w:start w:val="1"/>
      <w:numFmt w:val="bullet"/>
      <w:lvlText w:val=""/>
      <w:lvlJc w:val="left"/>
      <w:pPr>
        <w:ind w:left="2160" w:hanging="360"/>
      </w:pPr>
      <w:rPr>
        <w:rFonts w:ascii="Wingdings" w:hAnsi="Wingdings" w:hint="default"/>
      </w:rPr>
    </w:lvl>
    <w:lvl w:ilvl="3" w:tplc="C7BAE7D0">
      <w:start w:val="1"/>
      <w:numFmt w:val="bullet"/>
      <w:lvlText w:val=""/>
      <w:lvlJc w:val="left"/>
      <w:pPr>
        <w:ind w:left="2880" w:hanging="360"/>
      </w:pPr>
      <w:rPr>
        <w:rFonts w:ascii="Symbol" w:hAnsi="Symbol" w:hint="default"/>
      </w:rPr>
    </w:lvl>
    <w:lvl w:ilvl="4" w:tplc="B8041EEA">
      <w:start w:val="1"/>
      <w:numFmt w:val="bullet"/>
      <w:lvlText w:val="o"/>
      <w:lvlJc w:val="left"/>
      <w:pPr>
        <w:ind w:left="3600" w:hanging="360"/>
      </w:pPr>
      <w:rPr>
        <w:rFonts w:ascii="Courier New" w:hAnsi="Courier New" w:hint="default"/>
      </w:rPr>
    </w:lvl>
    <w:lvl w:ilvl="5" w:tplc="68ACFF62">
      <w:start w:val="1"/>
      <w:numFmt w:val="bullet"/>
      <w:lvlText w:val=""/>
      <w:lvlJc w:val="left"/>
      <w:pPr>
        <w:ind w:left="4320" w:hanging="360"/>
      </w:pPr>
      <w:rPr>
        <w:rFonts w:ascii="Wingdings" w:hAnsi="Wingdings" w:hint="default"/>
      </w:rPr>
    </w:lvl>
    <w:lvl w:ilvl="6" w:tplc="E2FA4C82">
      <w:start w:val="1"/>
      <w:numFmt w:val="bullet"/>
      <w:lvlText w:val=""/>
      <w:lvlJc w:val="left"/>
      <w:pPr>
        <w:ind w:left="5040" w:hanging="360"/>
      </w:pPr>
      <w:rPr>
        <w:rFonts w:ascii="Symbol" w:hAnsi="Symbol" w:hint="default"/>
      </w:rPr>
    </w:lvl>
    <w:lvl w:ilvl="7" w:tplc="68C0F9BA">
      <w:start w:val="1"/>
      <w:numFmt w:val="bullet"/>
      <w:lvlText w:val="o"/>
      <w:lvlJc w:val="left"/>
      <w:pPr>
        <w:ind w:left="5760" w:hanging="360"/>
      </w:pPr>
      <w:rPr>
        <w:rFonts w:ascii="Courier New" w:hAnsi="Courier New" w:hint="default"/>
      </w:rPr>
    </w:lvl>
    <w:lvl w:ilvl="8" w:tplc="E3724AD8">
      <w:start w:val="1"/>
      <w:numFmt w:val="bullet"/>
      <w:lvlText w:val=""/>
      <w:lvlJc w:val="left"/>
      <w:pPr>
        <w:ind w:left="6480" w:hanging="360"/>
      </w:pPr>
      <w:rPr>
        <w:rFonts w:ascii="Wingdings" w:hAnsi="Wingdings" w:hint="default"/>
      </w:rPr>
    </w:lvl>
  </w:abstractNum>
  <w:abstractNum w:abstractNumId="36"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380E85"/>
    <w:multiLevelType w:val="hybridMultilevel"/>
    <w:tmpl w:val="20D0110C"/>
    <w:lvl w:ilvl="0" w:tplc="55620A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902EA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6A420F"/>
    <w:multiLevelType w:val="hybridMultilevel"/>
    <w:tmpl w:val="0130F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F240B07"/>
    <w:multiLevelType w:val="multilevel"/>
    <w:tmpl w:val="F1C22C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none"/>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2587D2A"/>
    <w:multiLevelType w:val="hybridMultilevel"/>
    <w:tmpl w:val="432EA572"/>
    <w:lvl w:ilvl="0" w:tplc="58D0A2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9A0803"/>
    <w:multiLevelType w:val="multilevel"/>
    <w:tmpl w:val="F1C22C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none"/>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7046473">
    <w:abstractNumId w:val="35"/>
  </w:num>
  <w:num w:numId="2" w16cid:durableId="619805304">
    <w:abstractNumId w:val="37"/>
  </w:num>
  <w:num w:numId="3" w16cid:durableId="552279275">
    <w:abstractNumId w:val="17"/>
  </w:num>
  <w:num w:numId="4" w16cid:durableId="293371532">
    <w:abstractNumId w:val="28"/>
  </w:num>
  <w:num w:numId="5" w16cid:durableId="1618367952">
    <w:abstractNumId w:val="12"/>
  </w:num>
  <w:num w:numId="6" w16cid:durableId="461390292">
    <w:abstractNumId w:val="9"/>
  </w:num>
  <w:num w:numId="7" w16cid:durableId="724257617">
    <w:abstractNumId w:val="16"/>
  </w:num>
  <w:num w:numId="8" w16cid:durableId="424347099">
    <w:abstractNumId w:val="25"/>
  </w:num>
  <w:num w:numId="9" w16cid:durableId="1845197491">
    <w:abstractNumId w:val="38"/>
  </w:num>
  <w:num w:numId="10" w16cid:durableId="461967983">
    <w:abstractNumId w:val="2"/>
  </w:num>
  <w:num w:numId="11" w16cid:durableId="2051876635">
    <w:abstractNumId w:val="33"/>
  </w:num>
  <w:num w:numId="12" w16cid:durableId="2130857903">
    <w:abstractNumId w:val="34"/>
  </w:num>
  <w:num w:numId="13" w16cid:durableId="535124938">
    <w:abstractNumId w:val="40"/>
  </w:num>
  <w:num w:numId="14" w16cid:durableId="164134553">
    <w:abstractNumId w:val="42"/>
  </w:num>
  <w:num w:numId="15" w16cid:durableId="194539889">
    <w:abstractNumId w:val="19"/>
  </w:num>
  <w:num w:numId="16" w16cid:durableId="709962187">
    <w:abstractNumId w:val="4"/>
  </w:num>
  <w:num w:numId="17" w16cid:durableId="1287279264">
    <w:abstractNumId w:val="8"/>
  </w:num>
  <w:num w:numId="18" w16cid:durableId="2129546048">
    <w:abstractNumId w:val="15"/>
  </w:num>
  <w:num w:numId="19" w16cid:durableId="278146982">
    <w:abstractNumId w:val="24"/>
  </w:num>
  <w:num w:numId="20" w16cid:durableId="1509522065">
    <w:abstractNumId w:val="39"/>
  </w:num>
  <w:num w:numId="21" w16cid:durableId="298151277">
    <w:abstractNumId w:val="18"/>
  </w:num>
  <w:num w:numId="22" w16cid:durableId="394399621">
    <w:abstractNumId w:val="5"/>
  </w:num>
  <w:num w:numId="23" w16cid:durableId="1643190658">
    <w:abstractNumId w:val="14"/>
  </w:num>
  <w:num w:numId="24" w16cid:durableId="1652445236">
    <w:abstractNumId w:val="11"/>
  </w:num>
  <w:num w:numId="25" w16cid:durableId="1555777468">
    <w:abstractNumId w:val="6"/>
  </w:num>
  <w:num w:numId="26" w16cid:durableId="1207376217">
    <w:abstractNumId w:val="1"/>
  </w:num>
  <w:num w:numId="27" w16cid:durableId="38018743">
    <w:abstractNumId w:val="1"/>
  </w:num>
  <w:num w:numId="28" w16cid:durableId="1499810729">
    <w:abstractNumId w:val="0"/>
  </w:num>
  <w:num w:numId="29" w16cid:durableId="2024161070">
    <w:abstractNumId w:val="0"/>
  </w:num>
  <w:num w:numId="30" w16cid:durableId="213665330">
    <w:abstractNumId w:val="29"/>
  </w:num>
  <w:num w:numId="31" w16cid:durableId="648444589">
    <w:abstractNumId w:val="36"/>
  </w:num>
  <w:num w:numId="32" w16cid:durableId="1474374502">
    <w:abstractNumId w:val="3"/>
  </w:num>
  <w:num w:numId="33" w16cid:durableId="1770931210">
    <w:abstractNumId w:val="7"/>
  </w:num>
  <w:num w:numId="34" w16cid:durableId="1514956900">
    <w:abstractNumId w:val="10"/>
  </w:num>
  <w:num w:numId="35" w16cid:durableId="1928151220">
    <w:abstractNumId w:val="32"/>
  </w:num>
  <w:num w:numId="36" w16cid:durableId="1919442051">
    <w:abstractNumId w:val="27"/>
  </w:num>
  <w:num w:numId="37" w16cid:durableId="563764016">
    <w:abstractNumId w:val="23"/>
  </w:num>
  <w:num w:numId="38" w16cid:durableId="377169740">
    <w:abstractNumId w:val="20"/>
  </w:num>
  <w:num w:numId="39" w16cid:durableId="1207840999">
    <w:abstractNumId w:val="13"/>
  </w:num>
  <w:num w:numId="40" w16cid:durableId="196162137">
    <w:abstractNumId w:val="26"/>
  </w:num>
  <w:num w:numId="41" w16cid:durableId="20898383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44788575">
    <w:abstractNumId w:val="22"/>
  </w:num>
  <w:num w:numId="43" w16cid:durableId="14397604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94397657">
    <w:abstractNumId w:val="31"/>
  </w:num>
  <w:num w:numId="45" w16cid:durableId="1710955470">
    <w:abstractNumId w:val="30"/>
  </w:num>
  <w:num w:numId="46" w16cid:durableId="1571885982">
    <w:abstractNumId w:val="21"/>
  </w:num>
  <w:num w:numId="47" w16cid:durableId="1949267019">
    <w:abstractNumId w:val="41"/>
  </w:num>
  <w:num w:numId="48" w16cid:durableId="16865193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9EC"/>
    <w:rsid w:val="00001994"/>
    <w:rsid w:val="000026E0"/>
    <w:rsid w:val="00002B9E"/>
    <w:rsid w:val="0000407E"/>
    <w:rsid w:val="0000492A"/>
    <w:rsid w:val="00004C9C"/>
    <w:rsid w:val="00007A7F"/>
    <w:rsid w:val="00010C07"/>
    <w:rsid w:val="00011F7F"/>
    <w:rsid w:val="00012971"/>
    <w:rsid w:val="00012F3F"/>
    <w:rsid w:val="00016AC2"/>
    <w:rsid w:val="00017231"/>
    <w:rsid w:val="000202DF"/>
    <w:rsid w:val="000203EC"/>
    <w:rsid w:val="00021750"/>
    <w:rsid w:val="0002178D"/>
    <w:rsid w:val="00021DF1"/>
    <w:rsid w:val="0002244F"/>
    <w:rsid w:val="00022A74"/>
    <w:rsid w:val="000237BA"/>
    <w:rsid w:val="000245AA"/>
    <w:rsid w:val="000250FA"/>
    <w:rsid w:val="0002519B"/>
    <w:rsid w:val="000254AC"/>
    <w:rsid w:val="00025607"/>
    <w:rsid w:val="00025DB3"/>
    <w:rsid w:val="000278FC"/>
    <w:rsid w:val="000318C0"/>
    <w:rsid w:val="000327E0"/>
    <w:rsid w:val="00033A50"/>
    <w:rsid w:val="00034CE8"/>
    <w:rsid w:val="00034F12"/>
    <w:rsid w:val="0003579B"/>
    <w:rsid w:val="00037252"/>
    <w:rsid w:val="0003781C"/>
    <w:rsid w:val="00041F5D"/>
    <w:rsid w:val="00042F7A"/>
    <w:rsid w:val="00043D50"/>
    <w:rsid w:val="000445DC"/>
    <w:rsid w:val="00044778"/>
    <w:rsid w:val="00044BC0"/>
    <w:rsid w:val="00045C31"/>
    <w:rsid w:val="00047AE3"/>
    <w:rsid w:val="000500A6"/>
    <w:rsid w:val="00050150"/>
    <w:rsid w:val="00050A9F"/>
    <w:rsid w:val="0005156F"/>
    <w:rsid w:val="0005197C"/>
    <w:rsid w:val="00051A1C"/>
    <w:rsid w:val="00051B9F"/>
    <w:rsid w:val="00051DDA"/>
    <w:rsid w:val="00051F06"/>
    <w:rsid w:val="00052F07"/>
    <w:rsid w:val="00053F2F"/>
    <w:rsid w:val="00054324"/>
    <w:rsid w:val="0005437A"/>
    <w:rsid w:val="00054911"/>
    <w:rsid w:val="000550E0"/>
    <w:rsid w:val="00055316"/>
    <w:rsid w:val="00055762"/>
    <w:rsid w:val="000563E4"/>
    <w:rsid w:val="00060632"/>
    <w:rsid w:val="00060967"/>
    <w:rsid w:val="00060A19"/>
    <w:rsid w:val="00061D46"/>
    <w:rsid w:val="0006211B"/>
    <w:rsid w:val="000657B1"/>
    <w:rsid w:val="00065B2E"/>
    <w:rsid w:val="00067714"/>
    <w:rsid w:val="00067E2A"/>
    <w:rsid w:val="000716D2"/>
    <w:rsid w:val="000717A3"/>
    <w:rsid w:val="0007224D"/>
    <w:rsid w:val="00072EE8"/>
    <w:rsid w:val="00073E57"/>
    <w:rsid w:val="00074A5D"/>
    <w:rsid w:val="000758E2"/>
    <w:rsid w:val="00075C66"/>
    <w:rsid w:val="000774CA"/>
    <w:rsid w:val="0007765B"/>
    <w:rsid w:val="0008107F"/>
    <w:rsid w:val="000822DE"/>
    <w:rsid w:val="00082ED0"/>
    <w:rsid w:val="000856B0"/>
    <w:rsid w:val="00085901"/>
    <w:rsid w:val="000907C1"/>
    <w:rsid w:val="000907EF"/>
    <w:rsid w:val="000913B8"/>
    <w:rsid w:val="00091797"/>
    <w:rsid w:val="00091D7B"/>
    <w:rsid w:val="00092C91"/>
    <w:rsid w:val="00092D26"/>
    <w:rsid w:val="00093C20"/>
    <w:rsid w:val="00094105"/>
    <w:rsid w:val="000A1C55"/>
    <w:rsid w:val="000A1E19"/>
    <w:rsid w:val="000A1F90"/>
    <w:rsid w:val="000A2670"/>
    <w:rsid w:val="000A3EA6"/>
    <w:rsid w:val="000A4D7F"/>
    <w:rsid w:val="000A4DD4"/>
    <w:rsid w:val="000A52D3"/>
    <w:rsid w:val="000A5484"/>
    <w:rsid w:val="000A6F8C"/>
    <w:rsid w:val="000A74CD"/>
    <w:rsid w:val="000B0E6F"/>
    <w:rsid w:val="000B18A8"/>
    <w:rsid w:val="000B35B2"/>
    <w:rsid w:val="000B51C1"/>
    <w:rsid w:val="000B5479"/>
    <w:rsid w:val="000B5DA0"/>
    <w:rsid w:val="000B5E69"/>
    <w:rsid w:val="000B6287"/>
    <w:rsid w:val="000B666B"/>
    <w:rsid w:val="000B73CB"/>
    <w:rsid w:val="000B7A70"/>
    <w:rsid w:val="000C00B8"/>
    <w:rsid w:val="000C0C97"/>
    <w:rsid w:val="000C1150"/>
    <w:rsid w:val="000C1AFD"/>
    <w:rsid w:val="000C399E"/>
    <w:rsid w:val="000C3AB4"/>
    <w:rsid w:val="000C421D"/>
    <w:rsid w:val="000C4851"/>
    <w:rsid w:val="000C59DC"/>
    <w:rsid w:val="000D062B"/>
    <w:rsid w:val="000D2897"/>
    <w:rsid w:val="000D2CA8"/>
    <w:rsid w:val="000D3AEF"/>
    <w:rsid w:val="000D3C4F"/>
    <w:rsid w:val="000D47D1"/>
    <w:rsid w:val="000E0732"/>
    <w:rsid w:val="000E0D6B"/>
    <w:rsid w:val="000E1301"/>
    <w:rsid w:val="000E20CB"/>
    <w:rsid w:val="000E26D7"/>
    <w:rsid w:val="000E341E"/>
    <w:rsid w:val="000E3828"/>
    <w:rsid w:val="000E3D53"/>
    <w:rsid w:val="000E452E"/>
    <w:rsid w:val="000E4A99"/>
    <w:rsid w:val="000E66FB"/>
    <w:rsid w:val="000E69A7"/>
    <w:rsid w:val="000E7591"/>
    <w:rsid w:val="000F1DEC"/>
    <w:rsid w:val="000F33BA"/>
    <w:rsid w:val="000F4D1B"/>
    <w:rsid w:val="000F5C26"/>
    <w:rsid w:val="000F6A5B"/>
    <w:rsid w:val="000F76E5"/>
    <w:rsid w:val="000F7F69"/>
    <w:rsid w:val="00100151"/>
    <w:rsid w:val="001009E2"/>
    <w:rsid w:val="00101ABA"/>
    <w:rsid w:val="001024D6"/>
    <w:rsid w:val="001026D1"/>
    <w:rsid w:val="00105A52"/>
    <w:rsid w:val="001069FD"/>
    <w:rsid w:val="001076AB"/>
    <w:rsid w:val="00107C60"/>
    <w:rsid w:val="00107E36"/>
    <w:rsid w:val="00107F3C"/>
    <w:rsid w:val="001112E9"/>
    <w:rsid w:val="0011279B"/>
    <w:rsid w:val="001139EF"/>
    <w:rsid w:val="001153B3"/>
    <w:rsid w:val="00115E55"/>
    <w:rsid w:val="00116E8D"/>
    <w:rsid w:val="00117A8E"/>
    <w:rsid w:val="001232B7"/>
    <w:rsid w:val="00124D43"/>
    <w:rsid w:val="00125639"/>
    <w:rsid w:val="00125731"/>
    <w:rsid w:val="00126005"/>
    <w:rsid w:val="0013174F"/>
    <w:rsid w:val="00131947"/>
    <w:rsid w:val="00132699"/>
    <w:rsid w:val="00133465"/>
    <w:rsid w:val="001334F0"/>
    <w:rsid w:val="00137011"/>
    <w:rsid w:val="00140319"/>
    <w:rsid w:val="001413BC"/>
    <w:rsid w:val="0014149E"/>
    <w:rsid w:val="00143BCC"/>
    <w:rsid w:val="0014433E"/>
    <w:rsid w:val="0014573D"/>
    <w:rsid w:val="00146A02"/>
    <w:rsid w:val="00152103"/>
    <w:rsid w:val="001535E7"/>
    <w:rsid w:val="00154116"/>
    <w:rsid w:val="00154122"/>
    <w:rsid w:val="00155365"/>
    <w:rsid w:val="00157233"/>
    <w:rsid w:val="00160FE3"/>
    <w:rsid w:val="001614BC"/>
    <w:rsid w:val="00161D71"/>
    <w:rsid w:val="0016235D"/>
    <w:rsid w:val="00162AB4"/>
    <w:rsid w:val="00164481"/>
    <w:rsid w:val="001649C8"/>
    <w:rsid w:val="00165101"/>
    <w:rsid w:val="00165791"/>
    <w:rsid w:val="00166AD5"/>
    <w:rsid w:val="00166FEB"/>
    <w:rsid w:val="0017181A"/>
    <w:rsid w:val="00171A20"/>
    <w:rsid w:val="00172050"/>
    <w:rsid w:val="001733A1"/>
    <w:rsid w:val="00174AC9"/>
    <w:rsid w:val="00175700"/>
    <w:rsid w:val="001762D9"/>
    <w:rsid w:val="0018217B"/>
    <w:rsid w:val="001827B1"/>
    <w:rsid w:val="00186683"/>
    <w:rsid w:val="001879F2"/>
    <w:rsid w:val="00191811"/>
    <w:rsid w:val="00193A3C"/>
    <w:rsid w:val="00195627"/>
    <w:rsid w:val="00195745"/>
    <w:rsid w:val="00195BEA"/>
    <w:rsid w:val="001967E9"/>
    <w:rsid w:val="00197B43"/>
    <w:rsid w:val="001A0991"/>
    <w:rsid w:val="001A12A9"/>
    <w:rsid w:val="001A3D84"/>
    <w:rsid w:val="001A3ECA"/>
    <w:rsid w:val="001A5142"/>
    <w:rsid w:val="001A5232"/>
    <w:rsid w:val="001A584C"/>
    <w:rsid w:val="001A6196"/>
    <w:rsid w:val="001A6C0A"/>
    <w:rsid w:val="001B0ADB"/>
    <w:rsid w:val="001B0C74"/>
    <w:rsid w:val="001B2B67"/>
    <w:rsid w:val="001B4AB0"/>
    <w:rsid w:val="001B51EA"/>
    <w:rsid w:val="001B604C"/>
    <w:rsid w:val="001B65C0"/>
    <w:rsid w:val="001B7D11"/>
    <w:rsid w:val="001C0668"/>
    <w:rsid w:val="001C18D3"/>
    <w:rsid w:val="001C3689"/>
    <w:rsid w:val="001C3742"/>
    <w:rsid w:val="001C3747"/>
    <w:rsid w:val="001C3F06"/>
    <w:rsid w:val="001C51EA"/>
    <w:rsid w:val="001C6878"/>
    <w:rsid w:val="001C6C3C"/>
    <w:rsid w:val="001C721D"/>
    <w:rsid w:val="001C765D"/>
    <w:rsid w:val="001D181C"/>
    <w:rsid w:val="001D43CB"/>
    <w:rsid w:val="001D6CEA"/>
    <w:rsid w:val="001D6DEE"/>
    <w:rsid w:val="001D719C"/>
    <w:rsid w:val="001E0064"/>
    <w:rsid w:val="001E2A5F"/>
    <w:rsid w:val="001E39CF"/>
    <w:rsid w:val="001E4A04"/>
    <w:rsid w:val="001E526E"/>
    <w:rsid w:val="001E6603"/>
    <w:rsid w:val="001E664D"/>
    <w:rsid w:val="001E766F"/>
    <w:rsid w:val="001E7927"/>
    <w:rsid w:val="001E7C37"/>
    <w:rsid w:val="001F117B"/>
    <w:rsid w:val="001F456D"/>
    <w:rsid w:val="00200833"/>
    <w:rsid w:val="00200BCB"/>
    <w:rsid w:val="00201F05"/>
    <w:rsid w:val="00202D01"/>
    <w:rsid w:val="002041A4"/>
    <w:rsid w:val="0020662D"/>
    <w:rsid w:val="002069A4"/>
    <w:rsid w:val="00210478"/>
    <w:rsid w:val="00210B37"/>
    <w:rsid w:val="00211BB0"/>
    <w:rsid w:val="00213285"/>
    <w:rsid w:val="00213F4A"/>
    <w:rsid w:val="00214970"/>
    <w:rsid w:val="00214F34"/>
    <w:rsid w:val="00215778"/>
    <w:rsid w:val="002171E2"/>
    <w:rsid w:val="00220710"/>
    <w:rsid w:val="002208E9"/>
    <w:rsid w:val="002213EA"/>
    <w:rsid w:val="0022173E"/>
    <w:rsid w:val="00221857"/>
    <w:rsid w:val="002236BE"/>
    <w:rsid w:val="00224B7E"/>
    <w:rsid w:val="00224DEB"/>
    <w:rsid w:val="0022520A"/>
    <w:rsid w:val="00225B8E"/>
    <w:rsid w:val="00225D12"/>
    <w:rsid w:val="00226080"/>
    <w:rsid w:val="0022630D"/>
    <w:rsid w:val="00227686"/>
    <w:rsid w:val="00230E64"/>
    <w:rsid w:val="00231CE0"/>
    <w:rsid w:val="002327C1"/>
    <w:rsid w:val="00236C2D"/>
    <w:rsid w:val="002371F1"/>
    <w:rsid w:val="00241A41"/>
    <w:rsid w:val="0024365F"/>
    <w:rsid w:val="002442E0"/>
    <w:rsid w:val="00245295"/>
    <w:rsid w:val="00245EB4"/>
    <w:rsid w:val="00246404"/>
    <w:rsid w:val="00250390"/>
    <w:rsid w:val="00250ADC"/>
    <w:rsid w:val="00250D30"/>
    <w:rsid w:val="00251D79"/>
    <w:rsid w:val="0025399A"/>
    <w:rsid w:val="002543D0"/>
    <w:rsid w:val="00255261"/>
    <w:rsid w:val="00257516"/>
    <w:rsid w:val="00257B93"/>
    <w:rsid w:val="0026015F"/>
    <w:rsid w:val="002618B8"/>
    <w:rsid w:val="00262D74"/>
    <w:rsid w:val="002634AF"/>
    <w:rsid w:val="00264163"/>
    <w:rsid w:val="002642A2"/>
    <w:rsid w:val="002652CC"/>
    <w:rsid w:val="002664E5"/>
    <w:rsid w:val="00266ED1"/>
    <w:rsid w:val="002677FE"/>
    <w:rsid w:val="00270627"/>
    <w:rsid w:val="00270C2A"/>
    <w:rsid w:val="00271774"/>
    <w:rsid w:val="002736E1"/>
    <w:rsid w:val="00273ABF"/>
    <w:rsid w:val="0027476D"/>
    <w:rsid w:val="00274939"/>
    <w:rsid w:val="0027540B"/>
    <w:rsid w:val="00275FE7"/>
    <w:rsid w:val="0027636E"/>
    <w:rsid w:val="0027705D"/>
    <w:rsid w:val="002774F5"/>
    <w:rsid w:val="00280289"/>
    <w:rsid w:val="002804BA"/>
    <w:rsid w:val="00281E7B"/>
    <w:rsid w:val="00282525"/>
    <w:rsid w:val="0028311A"/>
    <w:rsid w:val="00284EBC"/>
    <w:rsid w:val="0028557A"/>
    <w:rsid w:val="00286042"/>
    <w:rsid w:val="002869A7"/>
    <w:rsid w:val="00286DB6"/>
    <w:rsid w:val="0029000E"/>
    <w:rsid w:val="00290CAF"/>
    <w:rsid w:val="00291A03"/>
    <w:rsid w:val="002920BD"/>
    <w:rsid w:val="00292557"/>
    <w:rsid w:val="00293806"/>
    <w:rsid w:val="0029412B"/>
    <w:rsid w:val="00294D04"/>
    <w:rsid w:val="00294EDE"/>
    <w:rsid w:val="00296062"/>
    <w:rsid w:val="0029664D"/>
    <w:rsid w:val="002967C3"/>
    <w:rsid w:val="002A4C78"/>
    <w:rsid w:val="002A512E"/>
    <w:rsid w:val="002A5BA0"/>
    <w:rsid w:val="002A728D"/>
    <w:rsid w:val="002B25CC"/>
    <w:rsid w:val="002B44F2"/>
    <w:rsid w:val="002B4F0B"/>
    <w:rsid w:val="002B52CF"/>
    <w:rsid w:val="002B5331"/>
    <w:rsid w:val="002B5ABC"/>
    <w:rsid w:val="002B76DF"/>
    <w:rsid w:val="002B790F"/>
    <w:rsid w:val="002B7DE0"/>
    <w:rsid w:val="002C074F"/>
    <w:rsid w:val="002C0846"/>
    <w:rsid w:val="002C2F1B"/>
    <w:rsid w:val="002C3449"/>
    <w:rsid w:val="002C43CF"/>
    <w:rsid w:val="002C4E34"/>
    <w:rsid w:val="002C5F1D"/>
    <w:rsid w:val="002C6C66"/>
    <w:rsid w:val="002C78CC"/>
    <w:rsid w:val="002D0E79"/>
    <w:rsid w:val="002D3506"/>
    <w:rsid w:val="002D3D12"/>
    <w:rsid w:val="002D3F57"/>
    <w:rsid w:val="002D5D83"/>
    <w:rsid w:val="002E0564"/>
    <w:rsid w:val="002E176D"/>
    <w:rsid w:val="002E2047"/>
    <w:rsid w:val="002E2DB9"/>
    <w:rsid w:val="002E2EF8"/>
    <w:rsid w:val="002E56D6"/>
    <w:rsid w:val="002F0073"/>
    <w:rsid w:val="002F13E1"/>
    <w:rsid w:val="002F29D5"/>
    <w:rsid w:val="002F3D82"/>
    <w:rsid w:val="002F4700"/>
    <w:rsid w:val="002F611A"/>
    <w:rsid w:val="002F638E"/>
    <w:rsid w:val="002F67F1"/>
    <w:rsid w:val="00300865"/>
    <w:rsid w:val="003010B7"/>
    <w:rsid w:val="0030118C"/>
    <w:rsid w:val="00301529"/>
    <w:rsid w:val="00302DAC"/>
    <w:rsid w:val="00303B20"/>
    <w:rsid w:val="00304916"/>
    <w:rsid w:val="00305ABD"/>
    <w:rsid w:val="00307449"/>
    <w:rsid w:val="00307E3A"/>
    <w:rsid w:val="00307E74"/>
    <w:rsid w:val="00312232"/>
    <w:rsid w:val="003123D9"/>
    <w:rsid w:val="00312CFB"/>
    <w:rsid w:val="003141F0"/>
    <w:rsid w:val="00315412"/>
    <w:rsid w:val="0031564C"/>
    <w:rsid w:val="00320D11"/>
    <w:rsid w:val="00320E5E"/>
    <w:rsid w:val="003216A8"/>
    <w:rsid w:val="00322DB8"/>
    <w:rsid w:val="0032303C"/>
    <w:rsid w:val="00323B9C"/>
    <w:rsid w:val="00324892"/>
    <w:rsid w:val="00324E87"/>
    <w:rsid w:val="00325EBD"/>
    <w:rsid w:val="0032708A"/>
    <w:rsid w:val="0032709F"/>
    <w:rsid w:val="003278AF"/>
    <w:rsid w:val="003308C5"/>
    <w:rsid w:val="0033365C"/>
    <w:rsid w:val="00333BE7"/>
    <w:rsid w:val="00334B2F"/>
    <w:rsid w:val="00335D32"/>
    <w:rsid w:val="00340CC2"/>
    <w:rsid w:val="00342021"/>
    <w:rsid w:val="0034270C"/>
    <w:rsid w:val="00344D14"/>
    <w:rsid w:val="00345910"/>
    <w:rsid w:val="00346ABB"/>
    <w:rsid w:val="00351AAC"/>
    <w:rsid w:val="003521E6"/>
    <w:rsid w:val="0035236B"/>
    <w:rsid w:val="00353140"/>
    <w:rsid w:val="003544EF"/>
    <w:rsid w:val="00354879"/>
    <w:rsid w:val="00354DEC"/>
    <w:rsid w:val="00356599"/>
    <w:rsid w:val="00357946"/>
    <w:rsid w:val="003621FB"/>
    <w:rsid w:val="003624EE"/>
    <w:rsid w:val="003638E1"/>
    <w:rsid w:val="00363AA3"/>
    <w:rsid w:val="003643D9"/>
    <w:rsid w:val="00364811"/>
    <w:rsid w:val="00366BA0"/>
    <w:rsid w:val="00370280"/>
    <w:rsid w:val="00370E2C"/>
    <w:rsid w:val="0037260B"/>
    <w:rsid w:val="0037427F"/>
    <w:rsid w:val="003744D4"/>
    <w:rsid w:val="003754B4"/>
    <w:rsid w:val="0037791A"/>
    <w:rsid w:val="00377C59"/>
    <w:rsid w:val="00380C3B"/>
    <w:rsid w:val="0038107A"/>
    <w:rsid w:val="00381E87"/>
    <w:rsid w:val="0038211A"/>
    <w:rsid w:val="00382BD7"/>
    <w:rsid w:val="003831A2"/>
    <w:rsid w:val="0038346E"/>
    <w:rsid w:val="0038385B"/>
    <w:rsid w:val="00384E80"/>
    <w:rsid w:val="003857B2"/>
    <w:rsid w:val="00385D96"/>
    <w:rsid w:val="00385DE4"/>
    <w:rsid w:val="00386637"/>
    <w:rsid w:val="00386865"/>
    <w:rsid w:val="003908B8"/>
    <w:rsid w:val="00390B4A"/>
    <w:rsid w:val="0039133A"/>
    <w:rsid w:val="003913F1"/>
    <w:rsid w:val="00392ABD"/>
    <w:rsid w:val="00393F0C"/>
    <w:rsid w:val="00394400"/>
    <w:rsid w:val="003945F3"/>
    <w:rsid w:val="003A00F0"/>
    <w:rsid w:val="003A02D4"/>
    <w:rsid w:val="003A0DEF"/>
    <w:rsid w:val="003A1CBD"/>
    <w:rsid w:val="003A3653"/>
    <w:rsid w:val="003A4576"/>
    <w:rsid w:val="003A575C"/>
    <w:rsid w:val="003B0E86"/>
    <w:rsid w:val="003B10CD"/>
    <w:rsid w:val="003B12D9"/>
    <w:rsid w:val="003B1313"/>
    <w:rsid w:val="003B3D79"/>
    <w:rsid w:val="003B3DF3"/>
    <w:rsid w:val="003B3F03"/>
    <w:rsid w:val="003B59A4"/>
    <w:rsid w:val="003B7B91"/>
    <w:rsid w:val="003C0440"/>
    <w:rsid w:val="003C0672"/>
    <w:rsid w:val="003C1AFE"/>
    <w:rsid w:val="003C2A7D"/>
    <w:rsid w:val="003C2BB4"/>
    <w:rsid w:val="003C34CF"/>
    <w:rsid w:val="003C3BBD"/>
    <w:rsid w:val="003C4255"/>
    <w:rsid w:val="003D0321"/>
    <w:rsid w:val="003D058F"/>
    <w:rsid w:val="003D1C4E"/>
    <w:rsid w:val="003D3807"/>
    <w:rsid w:val="003D4587"/>
    <w:rsid w:val="003E1477"/>
    <w:rsid w:val="003E26B1"/>
    <w:rsid w:val="003E34F8"/>
    <w:rsid w:val="003E4186"/>
    <w:rsid w:val="003E4F98"/>
    <w:rsid w:val="003E627D"/>
    <w:rsid w:val="003E6AF0"/>
    <w:rsid w:val="003E7ED7"/>
    <w:rsid w:val="003F030B"/>
    <w:rsid w:val="003F13D2"/>
    <w:rsid w:val="003F1661"/>
    <w:rsid w:val="003F1D12"/>
    <w:rsid w:val="003F348B"/>
    <w:rsid w:val="003F533B"/>
    <w:rsid w:val="003F6152"/>
    <w:rsid w:val="003F6956"/>
    <w:rsid w:val="003F769D"/>
    <w:rsid w:val="00401714"/>
    <w:rsid w:val="00401C0D"/>
    <w:rsid w:val="00404EDD"/>
    <w:rsid w:val="004063A9"/>
    <w:rsid w:val="0040647B"/>
    <w:rsid w:val="004065F6"/>
    <w:rsid w:val="00411D7F"/>
    <w:rsid w:val="00412061"/>
    <w:rsid w:val="004127C4"/>
    <w:rsid w:val="00413FC0"/>
    <w:rsid w:val="0041460D"/>
    <w:rsid w:val="0041588F"/>
    <w:rsid w:val="004161C6"/>
    <w:rsid w:val="00416925"/>
    <w:rsid w:val="00417367"/>
    <w:rsid w:val="00417D7B"/>
    <w:rsid w:val="00420801"/>
    <w:rsid w:val="00420A1F"/>
    <w:rsid w:val="00420F39"/>
    <w:rsid w:val="00422257"/>
    <w:rsid w:val="004229E4"/>
    <w:rsid w:val="0042323B"/>
    <w:rsid w:val="00423555"/>
    <w:rsid w:val="00424334"/>
    <w:rsid w:val="00424638"/>
    <w:rsid w:val="0042531F"/>
    <w:rsid w:val="00425B1D"/>
    <w:rsid w:val="00426BE5"/>
    <w:rsid w:val="00426DB7"/>
    <w:rsid w:val="00427742"/>
    <w:rsid w:val="0043109F"/>
    <w:rsid w:val="0043220B"/>
    <w:rsid w:val="0043297C"/>
    <w:rsid w:val="00433829"/>
    <w:rsid w:val="00440167"/>
    <w:rsid w:val="00440304"/>
    <w:rsid w:val="00441693"/>
    <w:rsid w:val="004440FC"/>
    <w:rsid w:val="004441E2"/>
    <w:rsid w:val="00444377"/>
    <w:rsid w:val="00444F67"/>
    <w:rsid w:val="00445197"/>
    <w:rsid w:val="00445375"/>
    <w:rsid w:val="00446142"/>
    <w:rsid w:val="00446B50"/>
    <w:rsid w:val="004473AE"/>
    <w:rsid w:val="0045063B"/>
    <w:rsid w:val="00452154"/>
    <w:rsid w:val="004539A1"/>
    <w:rsid w:val="0045544B"/>
    <w:rsid w:val="00455A3F"/>
    <w:rsid w:val="00457EA5"/>
    <w:rsid w:val="00460956"/>
    <w:rsid w:val="004609C7"/>
    <w:rsid w:val="004622EC"/>
    <w:rsid w:val="004625A7"/>
    <w:rsid w:val="00464724"/>
    <w:rsid w:val="0046529D"/>
    <w:rsid w:val="004656B2"/>
    <w:rsid w:val="00465E78"/>
    <w:rsid w:val="004701DE"/>
    <w:rsid w:val="004707F5"/>
    <w:rsid w:val="00472209"/>
    <w:rsid w:val="00472898"/>
    <w:rsid w:val="00473214"/>
    <w:rsid w:val="004739AC"/>
    <w:rsid w:val="004745F0"/>
    <w:rsid w:val="0047564F"/>
    <w:rsid w:val="00475A0B"/>
    <w:rsid w:val="00481972"/>
    <w:rsid w:val="00481DBE"/>
    <w:rsid w:val="00483B78"/>
    <w:rsid w:val="00483CCB"/>
    <w:rsid w:val="00483EF1"/>
    <w:rsid w:val="00484CD8"/>
    <w:rsid w:val="00484E0A"/>
    <w:rsid w:val="0048504A"/>
    <w:rsid w:val="0048510F"/>
    <w:rsid w:val="004865E9"/>
    <w:rsid w:val="00486B0B"/>
    <w:rsid w:val="00490102"/>
    <w:rsid w:val="0049276C"/>
    <w:rsid w:val="004928CF"/>
    <w:rsid w:val="00492B51"/>
    <w:rsid w:val="00492F71"/>
    <w:rsid w:val="00493676"/>
    <w:rsid w:val="00496E2C"/>
    <w:rsid w:val="004A08F3"/>
    <w:rsid w:val="004A18C9"/>
    <w:rsid w:val="004A2D75"/>
    <w:rsid w:val="004A34BD"/>
    <w:rsid w:val="004A37BA"/>
    <w:rsid w:val="004A3933"/>
    <w:rsid w:val="004A3B42"/>
    <w:rsid w:val="004A4E7E"/>
    <w:rsid w:val="004A6A3E"/>
    <w:rsid w:val="004B0E0B"/>
    <w:rsid w:val="004B183B"/>
    <w:rsid w:val="004B1937"/>
    <w:rsid w:val="004B1D78"/>
    <w:rsid w:val="004B217A"/>
    <w:rsid w:val="004B2E59"/>
    <w:rsid w:val="004B48A9"/>
    <w:rsid w:val="004B7AC3"/>
    <w:rsid w:val="004B7EF9"/>
    <w:rsid w:val="004C045C"/>
    <w:rsid w:val="004C0DB3"/>
    <w:rsid w:val="004C139B"/>
    <w:rsid w:val="004C2C98"/>
    <w:rsid w:val="004C36AD"/>
    <w:rsid w:val="004C3E4C"/>
    <w:rsid w:val="004C419B"/>
    <w:rsid w:val="004C48AB"/>
    <w:rsid w:val="004C4EDF"/>
    <w:rsid w:val="004C58B4"/>
    <w:rsid w:val="004C6E62"/>
    <w:rsid w:val="004D2485"/>
    <w:rsid w:val="004D3186"/>
    <w:rsid w:val="004D382F"/>
    <w:rsid w:val="004D3BAA"/>
    <w:rsid w:val="004D429D"/>
    <w:rsid w:val="004D527D"/>
    <w:rsid w:val="004D6E51"/>
    <w:rsid w:val="004D7781"/>
    <w:rsid w:val="004E1CE8"/>
    <w:rsid w:val="004E2D80"/>
    <w:rsid w:val="004E4004"/>
    <w:rsid w:val="004E41E4"/>
    <w:rsid w:val="004E44CC"/>
    <w:rsid w:val="004E4D22"/>
    <w:rsid w:val="004E5EF5"/>
    <w:rsid w:val="004E685A"/>
    <w:rsid w:val="004E7F37"/>
    <w:rsid w:val="004F12FD"/>
    <w:rsid w:val="004F1382"/>
    <w:rsid w:val="004F1CB9"/>
    <w:rsid w:val="004F3F59"/>
    <w:rsid w:val="004F4A51"/>
    <w:rsid w:val="004F4F09"/>
    <w:rsid w:val="004F6D0C"/>
    <w:rsid w:val="004F6ECE"/>
    <w:rsid w:val="0050030E"/>
    <w:rsid w:val="005011A5"/>
    <w:rsid w:val="00501885"/>
    <w:rsid w:val="0050313E"/>
    <w:rsid w:val="0050316C"/>
    <w:rsid w:val="0050388C"/>
    <w:rsid w:val="00503C1B"/>
    <w:rsid w:val="00503DEB"/>
    <w:rsid w:val="00504128"/>
    <w:rsid w:val="00504963"/>
    <w:rsid w:val="00507051"/>
    <w:rsid w:val="005077B4"/>
    <w:rsid w:val="0051029F"/>
    <w:rsid w:val="00511B77"/>
    <w:rsid w:val="00511B83"/>
    <w:rsid w:val="00512E60"/>
    <w:rsid w:val="00513E6C"/>
    <w:rsid w:val="0051416B"/>
    <w:rsid w:val="00515AB1"/>
    <w:rsid w:val="00517063"/>
    <w:rsid w:val="005178DA"/>
    <w:rsid w:val="00520581"/>
    <w:rsid w:val="00521F74"/>
    <w:rsid w:val="005223A1"/>
    <w:rsid w:val="005229D0"/>
    <w:rsid w:val="0052352E"/>
    <w:rsid w:val="00526333"/>
    <w:rsid w:val="00527679"/>
    <w:rsid w:val="00527B09"/>
    <w:rsid w:val="0053027F"/>
    <w:rsid w:val="0053132B"/>
    <w:rsid w:val="0053292E"/>
    <w:rsid w:val="005334F6"/>
    <w:rsid w:val="00535420"/>
    <w:rsid w:val="0053780A"/>
    <w:rsid w:val="00541C2E"/>
    <w:rsid w:val="00542A74"/>
    <w:rsid w:val="00544DBD"/>
    <w:rsid w:val="00545137"/>
    <w:rsid w:val="00545605"/>
    <w:rsid w:val="00545C02"/>
    <w:rsid w:val="005460B1"/>
    <w:rsid w:val="00546100"/>
    <w:rsid w:val="00546407"/>
    <w:rsid w:val="00555468"/>
    <w:rsid w:val="005554F6"/>
    <w:rsid w:val="00556D3B"/>
    <w:rsid w:val="00557D8C"/>
    <w:rsid w:val="00561AB2"/>
    <w:rsid w:val="00561BA9"/>
    <w:rsid w:val="005645B1"/>
    <w:rsid w:val="0056551C"/>
    <w:rsid w:val="00567311"/>
    <w:rsid w:val="005676A5"/>
    <w:rsid w:val="0057125F"/>
    <w:rsid w:val="00573ECF"/>
    <w:rsid w:val="00574D17"/>
    <w:rsid w:val="00575494"/>
    <w:rsid w:val="0057652C"/>
    <w:rsid w:val="005765BB"/>
    <w:rsid w:val="00581B3A"/>
    <w:rsid w:val="00582205"/>
    <w:rsid w:val="00582A55"/>
    <w:rsid w:val="00583B97"/>
    <w:rsid w:val="0058455F"/>
    <w:rsid w:val="005907C4"/>
    <w:rsid w:val="0059240B"/>
    <w:rsid w:val="00592485"/>
    <w:rsid w:val="005924FC"/>
    <w:rsid w:val="0059433D"/>
    <w:rsid w:val="005949D6"/>
    <w:rsid w:val="005951CB"/>
    <w:rsid w:val="005954BC"/>
    <w:rsid w:val="00595EEF"/>
    <w:rsid w:val="0059688C"/>
    <w:rsid w:val="005969E2"/>
    <w:rsid w:val="00596F93"/>
    <w:rsid w:val="00597531"/>
    <w:rsid w:val="00597C24"/>
    <w:rsid w:val="00597E1A"/>
    <w:rsid w:val="005A024A"/>
    <w:rsid w:val="005A0E12"/>
    <w:rsid w:val="005A1040"/>
    <w:rsid w:val="005A2848"/>
    <w:rsid w:val="005A4A99"/>
    <w:rsid w:val="005A62AF"/>
    <w:rsid w:val="005A62DA"/>
    <w:rsid w:val="005A65F7"/>
    <w:rsid w:val="005A6F26"/>
    <w:rsid w:val="005A7A64"/>
    <w:rsid w:val="005A7B1C"/>
    <w:rsid w:val="005B1BE3"/>
    <w:rsid w:val="005B1E59"/>
    <w:rsid w:val="005B2919"/>
    <w:rsid w:val="005B330C"/>
    <w:rsid w:val="005B4256"/>
    <w:rsid w:val="005B4601"/>
    <w:rsid w:val="005B534F"/>
    <w:rsid w:val="005B5390"/>
    <w:rsid w:val="005B6189"/>
    <w:rsid w:val="005B61E6"/>
    <w:rsid w:val="005B6557"/>
    <w:rsid w:val="005C1D6E"/>
    <w:rsid w:val="005C4015"/>
    <w:rsid w:val="005C40E1"/>
    <w:rsid w:val="005C4253"/>
    <w:rsid w:val="005C57D7"/>
    <w:rsid w:val="005C64E4"/>
    <w:rsid w:val="005C7DA1"/>
    <w:rsid w:val="005D1B12"/>
    <w:rsid w:val="005D2228"/>
    <w:rsid w:val="005D27E7"/>
    <w:rsid w:val="005D3968"/>
    <w:rsid w:val="005D5AFF"/>
    <w:rsid w:val="005D707F"/>
    <w:rsid w:val="005D7FC4"/>
    <w:rsid w:val="005E0C2E"/>
    <w:rsid w:val="005E1B87"/>
    <w:rsid w:val="005E1BA7"/>
    <w:rsid w:val="005E2EEF"/>
    <w:rsid w:val="005E307A"/>
    <w:rsid w:val="005E4152"/>
    <w:rsid w:val="005E478D"/>
    <w:rsid w:val="005E4A88"/>
    <w:rsid w:val="005E50B9"/>
    <w:rsid w:val="005E59BF"/>
    <w:rsid w:val="005E70E9"/>
    <w:rsid w:val="005E7E80"/>
    <w:rsid w:val="005F0BBA"/>
    <w:rsid w:val="005F15BC"/>
    <w:rsid w:val="005F15CB"/>
    <w:rsid w:val="005F22A8"/>
    <w:rsid w:val="005F25B3"/>
    <w:rsid w:val="005F3861"/>
    <w:rsid w:val="005F4538"/>
    <w:rsid w:val="005F4B13"/>
    <w:rsid w:val="005F6267"/>
    <w:rsid w:val="005F7953"/>
    <w:rsid w:val="005F7C36"/>
    <w:rsid w:val="00601736"/>
    <w:rsid w:val="00601BED"/>
    <w:rsid w:val="00602201"/>
    <w:rsid w:val="006025A9"/>
    <w:rsid w:val="00605872"/>
    <w:rsid w:val="00605CEF"/>
    <w:rsid w:val="006137F7"/>
    <w:rsid w:val="00615888"/>
    <w:rsid w:val="006200D0"/>
    <w:rsid w:val="00620431"/>
    <w:rsid w:val="006205B5"/>
    <w:rsid w:val="00620677"/>
    <w:rsid w:val="006208F2"/>
    <w:rsid w:val="006211A9"/>
    <w:rsid w:val="006227BD"/>
    <w:rsid w:val="00623055"/>
    <w:rsid w:val="00623128"/>
    <w:rsid w:val="00623E6F"/>
    <w:rsid w:val="00624979"/>
    <w:rsid w:val="006277A6"/>
    <w:rsid w:val="006309B3"/>
    <w:rsid w:val="00631A29"/>
    <w:rsid w:val="0063380A"/>
    <w:rsid w:val="0063383A"/>
    <w:rsid w:val="006349C5"/>
    <w:rsid w:val="0063707B"/>
    <w:rsid w:val="00637567"/>
    <w:rsid w:val="006375BA"/>
    <w:rsid w:val="00641F61"/>
    <w:rsid w:val="00644549"/>
    <w:rsid w:val="0064474E"/>
    <w:rsid w:val="00644B40"/>
    <w:rsid w:val="00645449"/>
    <w:rsid w:val="0065225C"/>
    <w:rsid w:val="0065370F"/>
    <w:rsid w:val="0065400E"/>
    <w:rsid w:val="0065436C"/>
    <w:rsid w:val="006545D4"/>
    <w:rsid w:val="00655AF2"/>
    <w:rsid w:val="00656082"/>
    <w:rsid w:val="00656ED1"/>
    <w:rsid w:val="0065721C"/>
    <w:rsid w:val="00657246"/>
    <w:rsid w:val="0065792E"/>
    <w:rsid w:val="00657B57"/>
    <w:rsid w:val="00657E8A"/>
    <w:rsid w:val="006620D9"/>
    <w:rsid w:val="00662345"/>
    <w:rsid w:val="00663E25"/>
    <w:rsid w:val="00663E81"/>
    <w:rsid w:val="00664344"/>
    <w:rsid w:val="00664938"/>
    <w:rsid w:val="006665C6"/>
    <w:rsid w:val="00671BBA"/>
    <w:rsid w:val="0067275D"/>
    <w:rsid w:val="006729A1"/>
    <w:rsid w:val="00675252"/>
    <w:rsid w:val="00680523"/>
    <w:rsid w:val="006805CF"/>
    <w:rsid w:val="00680B18"/>
    <w:rsid w:val="0068157E"/>
    <w:rsid w:val="00681FF3"/>
    <w:rsid w:val="00684D21"/>
    <w:rsid w:val="00684FA6"/>
    <w:rsid w:val="006861FD"/>
    <w:rsid w:val="0068659A"/>
    <w:rsid w:val="0068667D"/>
    <w:rsid w:val="00686DF8"/>
    <w:rsid w:val="00687635"/>
    <w:rsid w:val="006906F8"/>
    <w:rsid w:val="006921B1"/>
    <w:rsid w:val="00693668"/>
    <w:rsid w:val="00693749"/>
    <w:rsid w:val="006940A7"/>
    <w:rsid w:val="006946ED"/>
    <w:rsid w:val="00694998"/>
    <w:rsid w:val="006A0053"/>
    <w:rsid w:val="006A0BF8"/>
    <w:rsid w:val="006A475C"/>
    <w:rsid w:val="006A55C1"/>
    <w:rsid w:val="006A5749"/>
    <w:rsid w:val="006A5EAF"/>
    <w:rsid w:val="006A757D"/>
    <w:rsid w:val="006A78E2"/>
    <w:rsid w:val="006B11C3"/>
    <w:rsid w:val="006B1C61"/>
    <w:rsid w:val="006B40B8"/>
    <w:rsid w:val="006B4400"/>
    <w:rsid w:val="006B7638"/>
    <w:rsid w:val="006B76CD"/>
    <w:rsid w:val="006C090D"/>
    <w:rsid w:val="006C1D68"/>
    <w:rsid w:val="006C1E60"/>
    <w:rsid w:val="006C203A"/>
    <w:rsid w:val="006C5004"/>
    <w:rsid w:val="006C58CE"/>
    <w:rsid w:val="006D001B"/>
    <w:rsid w:val="006D3924"/>
    <w:rsid w:val="006D47D6"/>
    <w:rsid w:val="006D4DD5"/>
    <w:rsid w:val="006D4F4F"/>
    <w:rsid w:val="006D6318"/>
    <w:rsid w:val="006D66C9"/>
    <w:rsid w:val="006E0958"/>
    <w:rsid w:val="006E1600"/>
    <w:rsid w:val="006E239A"/>
    <w:rsid w:val="006E2815"/>
    <w:rsid w:val="006E35F2"/>
    <w:rsid w:val="006E3BF2"/>
    <w:rsid w:val="006E54E6"/>
    <w:rsid w:val="006F0155"/>
    <w:rsid w:val="006F1AD5"/>
    <w:rsid w:val="006F1EF7"/>
    <w:rsid w:val="006F1FE7"/>
    <w:rsid w:val="006F335C"/>
    <w:rsid w:val="006F3460"/>
    <w:rsid w:val="006F5518"/>
    <w:rsid w:val="006F5E1B"/>
    <w:rsid w:val="006F658E"/>
    <w:rsid w:val="006F76F9"/>
    <w:rsid w:val="00700DEA"/>
    <w:rsid w:val="00703D8F"/>
    <w:rsid w:val="00704028"/>
    <w:rsid w:val="00704D20"/>
    <w:rsid w:val="00707279"/>
    <w:rsid w:val="00711766"/>
    <w:rsid w:val="0071206F"/>
    <w:rsid w:val="0071239B"/>
    <w:rsid w:val="00712AD2"/>
    <w:rsid w:val="00713940"/>
    <w:rsid w:val="00715529"/>
    <w:rsid w:val="0072055E"/>
    <w:rsid w:val="00721651"/>
    <w:rsid w:val="00722E64"/>
    <w:rsid w:val="00723212"/>
    <w:rsid w:val="00724B17"/>
    <w:rsid w:val="00724E9B"/>
    <w:rsid w:val="0072675C"/>
    <w:rsid w:val="00726825"/>
    <w:rsid w:val="00726DBE"/>
    <w:rsid w:val="0072768F"/>
    <w:rsid w:val="00731445"/>
    <w:rsid w:val="00732244"/>
    <w:rsid w:val="007322D9"/>
    <w:rsid w:val="007333E1"/>
    <w:rsid w:val="007335C3"/>
    <w:rsid w:val="007342F2"/>
    <w:rsid w:val="007345CD"/>
    <w:rsid w:val="00735487"/>
    <w:rsid w:val="00736C65"/>
    <w:rsid w:val="00736E3F"/>
    <w:rsid w:val="0074150E"/>
    <w:rsid w:val="007419EC"/>
    <w:rsid w:val="007426EF"/>
    <w:rsid w:val="0074425F"/>
    <w:rsid w:val="007452D5"/>
    <w:rsid w:val="00746416"/>
    <w:rsid w:val="00752A98"/>
    <w:rsid w:val="00753897"/>
    <w:rsid w:val="0075451D"/>
    <w:rsid w:val="00754B59"/>
    <w:rsid w:val="00754F4B"/>
    <w:rsid w:val="00755B83"/>
    <w:rsid w:val="007566E5"/>
    <w:rsid w:val="00756A0C"/>
    <w:rsid w:val="00756E3C"/>
    <w:rsid w:val="00760F8F"/>
    <w:rsid w:val="0076288B"/>
    <w:rsid w:val="007649FC"/>
    <w:rsid w:val="00766166"/>
    <w:rsid w:val="00770591"/>
    <w:rsid w:val="00770A18"/>
    <w:rsid w:val="0077228A"/>
    <w:rsid w:val="0077279D"/>
    <w:rsid w:val="00772DAF"/>
    <w:rsid w:val="0077426D"/>
    <w:rsid w:val="00774F5E"/>
    <w:rsid w:val="007763AC"/>
    <w:rsid w:val="00780DF3"/>
    <w:rsid w:val="007829BA"/>
    <w:rsid w:val="00782A03"/>
    <w:rsid w:val="00783731"/>
    <w:rsid w:val="007843C0"/>
    <w:rsid w:val="00784A60"/>
    <w:rsid w:val="0078767F"/>
    <w:rsid w:val="00790005"/>
    <w:rsid w:val="007909F6"/>
    <w:rsid w:val="00791247"/>
    <w:rsid w:val="007922FE"/>
    <w:rsid w:val="00792421"/>
    <w:rsid w:val="00794E71"/>
    <w:rsid w:val="0079604F"/>
    <w:rsid w:val="00797B68"/>
    <w:rsid w:val="007A0A92"/>
    <w:rsid w:val="007A2535"/>
    <w:rsid w:val="007A3A2C"/>
    <w:rsid w:val="007A7AB6"/>
    <w:rsid w:val="007A7BB6"/>
    <w:rsid w:val="007B02C3"/>
    <w:rsid w:val="007B0849"/>
    <w:rsid w:val="007B119C"/>
    <w:rsid w:val="007B2053"/>
    <w:rsid w:val="007B2718"/>
    <w:rsid w:val="007B2ABA"/>
    <w:rsid w:val="007B2B00"/>
    <w:rsid w:val="007B3AA6"/>
    <w:rsid w:val="007B42F8"/>
    <w:rsid w:val="007B4774"/>
    <w:rsid w:val="007B545B"/>
    <w:rsid w:val="007B724D"/>
    <w:rsid w:val="007B762E"/>
    <w:rsid w:val="007B7DBB"/>
    <w:rsid w:val="007C02C6"/>
    <w:rsid w:val="007C05DE"/>
    <w:rsid w:val="007C1BFE"/>
    <w:rsid w:val="007C3493"/>
    <w:rsid w:val="007C7D9E"/>
    <w:rsid w:val="007D0715"/>
    <w:rsid w:val="007D1CA8"/>
    <w:rsid w:val="007D1EA6"/>
    <w:rsid w:val="007D2BC4"/>
    <w:rsid w:val="007D3E33"/>
    <w:rsid w:val="007D5C73"/>
    <w:rsid w:val="007D7968"/>
    <w:rsid w:val="007D7BCD"/>
    <w:rsid w:val="007E166C"/>
    <w:rsid w:val="007E1A1E"/>
    <w:rsid w:val="007E1B54"/>
    <w:rsid w:val="007E224F"/>
    <w:rsid w:val="007E2DB3"/>
    <w:rsid w:val="007E2EE4"/>
    <w:rsid w:val="007E35F3"/>
    <w:rsid w:val="007E731C"/>
    <w:rsid w:val="007E7325"/>
    <w:rsid w:val="007E77E9"/>
    <w:rsid w:val="007F0888"/>
    <w:rsid w:val="007F0E70"/>
    <w:rsid w:val="007F1BCA"/>
    <w:rsid w:val="007F2004"/>
    <w:rsid w:val="007F483D"/>
    <w:rsid w:val="007F50FD"/>
    <w:rsid w:val="007F5B38"/>
    <w:rsid w:val="007F632A"/>
    <w:rsid w:val="008019D2"/>
    <w:rsid w:val="00801FA8"/>
    <w:rsid w:val="00802CAD"/>
    <w:rsid w:val="00802EDC"/>
    <w:rsid w:val="00804B8F"/>
    <w:rsid w:val="00805E8F"/>
    <w:rsid w:val="008062DD"/>
    <w:rsid w:val="0081031B"/>
    <w:rsid w:val="008106EB"/>
    <w:rsid w:val="00810844"/>
    <w:rsid w:val="0081089F"/>
    <w:rsid w:val="00811739"/>
    <w:rsid w:val="008128FB"/>
    <w:rsid w:val="008137F9"/>
    <w:rsid w:val="0081411B"/>
    <w:rsid w:val="00820A4C"/>
    <w:rsid w:val="00820E6D"/>
    <w:rsid w:val="008244BF"/>
    <w:rsid w:val="00825A33"/>
    <w:rsid w:val="00825C26"/>
    <w:rsid w:val="008269E0"/>
    <w:rsid w:val="00826FF6"/>
    <w:rsid w:val="008276F6"/>
    <w:rsid w:val="008322E5"/>
    <w:rsid w:val="00832631"/>
    <w:rsid w:val="00834EDC"/>
    <w:rsid w:val="00835549"/>
    <w:rsid w:val="00836273"/>
    <w:rsid w:val="008367DA"/>
    <w:rsid w:val="00842154"/>
    <w:rsid w:val="008433FA"/>
    <w:rsid w:val="008435E1"/>
    <w:rsid w:val="00843732"/>
    <w:rsid w:val="008439B7"/>
    <w:rsid w:val="00843C40"/>
    <w:rsid w:val="0084496F"/>
    <w:rsid w:val="008473D6"/>
    <w:rsid w:val="008475C4"/>
    <w:rsid w:val="0084792B"/>
    <w:rsid w:val="00851640"/>
    <w:rsid w:val="00851DD0"/>
    <w:rsid w:val="00852F48"/>
    <w:rsid w:val="008531FC"/>
    <w:rsid w:val="00856045"/>
    <w:rsid w:val="008622CE"/>
    <w:rsid w:val="00864918"/>
    <w:rsid w:val="00864AD3"/>
    <w:rsid w:val="008650A3"/>
    <w:rsid w:val="00865DC8"/>
    <w:rsid w:val="00865ED9"/>
    <w:rsid w:val="00866557"/>
    <w:rsid w:val="0086681F"/>
    <w:rsid w:val="00866A33"/>
    <w:rsid w:val="00866C8F"/>
    <w:rsid w:val="00867029"/>
    <w:rsid w:val="00870F47"/>
    <w:rsid w:val="00872051"/>
    <w:rsid w:val="008736CA"/>
    <w:rsid w:val="00873742"/>
    <w:rsid w:val="0087481C"/>
    <w:rsid w:val="0087499C"/>
    <w:rsid w:val="0087606C"/>
    <w:rsid w:val="00880482"/>
    <w:rsid w:val="0088150F"/>
    <w:rsid w:val="0088197B"/>
    <w:rsid w:val="00881BC6"/>
    <w:rsid w:val="00881C7A"/>
    <w:rsid w:val="00883639"/>
    <w:rsid w:val="00884A36"/>
    <w:rsid w:val="00887C6D"/>
    <w:rsid w:val="00890AE0"/>
    <w:rsid w:val="00890C33"/>
    <w:rsid w:val="00891100"/>
    <w:rsid w:val="008919A7"/>
    <w:rsid w:val="00891DC9"/>
    <w:rsid w:val="00892CEE"/>
    <w:rsid w:val="0089413C"/>
    <w:rsid w:val="00894D6F"/>
    <w:rsid w:val="0089560D"/>
    <w:rsid w:val="00896293"/>
    <w:rsid w:val="00897DE2"/>
    <w:rsid w:val="008A4294"/>
    <w:rsid w:val="008A4824"/>
    <w:rsid w:val="008A4F0B"/>
    <w:rsid w:val="008A69B7"/>
    <w:rsid w:val="008A6DA4"/>
    <w:rsid w:val="008A7B54"/>
    <w:rsid w:val="008B0197"/>
    <w:rsid w:val="008B15F0"/>
    <w:rsid w:val="008B270A"/>
    <w:rsid w:val="008B29F4"/>
    <w:rsid w:val="008B375D"/>
    <w:rsid w:val="008B3955"/>
    <w:rsid w:val="008B56D8"/>
    <w:rsid w:val="008B700C"/>
    <w:rsid w:val="008B743E"/>
    <w:rsid w:val="008B7D6B"/>
    <w:rsid w:val="008C0E14"/>
    <w:rsid w:val="008C11F3"/>
    <w:rsid w:val="008C1502"/>
    <w:rsid w:val="008C2DEF"/>
    <w:rsid w:val="008C3291"/>
    <w:rsid w:val="008C38B4"/>
    <w:rsid w:val="008C38E3"/>
    <w:rsid w:val="008C3E64"/>
    <w:rsid w:val="008C5EDA"/>
    <w:rsid w:val="008D07DF"/>
    <w:rsid w:val="008D13BC"/>
    <w:rsid w:val="008D1DFB"/>
    <w:rsid w:val="008D3B72"/>
    <w:rsid w:val="008D406C"/>
    <w:rsid w:val="008D4889"/>
    <w:rsid w:val="008E0C0E"/>
    <w:rsid w:val="008E22D0"/>
    <w:rsid w:val="008E2684"/>
    <w:rsid w:val="008E6988"/>
    <w:rsid w:val="008F7399"/>
    <w:rsid w:val="00904455"/>
    <w:rsid w:val="0090504B"/>
    <w:rsid w:val="00906625"/>
    <w:rsid w:val="00906761"/>
    <w:rsid w:val="00906F65"/>
    <w:rsid w:val="0090793B"/>
    <w:rsid w:val="00910C1F"/>
    <w:rsid w:val="00910CE0"/>
    <w:rsid w:val="009134FC"/>
    <w:rsid w:val="00913A87"/>
    <w:rsid w:val="00913B0C"/>
    <w:rsid w:val="00914DD1"/>
    <w:rsid w:val="00914F7C"/>
    <w:rsid w:val="009152D5"/>
    <w:rsid w:val="009153B2"/>
    <w:rsid w:val="0091580C"/>
    <w:rsid w:val="00915812"/>
    <w:rsid w:val="00915B03"/>
    <w:rsid w:val="00916336"/>
    <w:rsid w:val="00917659"/>
    <w:rsid w:val="009223BD"/>
    <w:rsid w:val="009225E7"/>
    <w:rsid w:val="009238B1"/>
    <w:rsid w:val="00923998"/>
    <w:rsid w:val="00923A5C"/>
    <w:rsid w:val="00923BF2"/>
    <w:rsid w:val="00925DC5"/>
    <w:rsid w:val="009262FE"/>
    <w:rsid w:val="00926AED"/>
    <w:rsid w:val="00930620"/>
    <w:rsid w:val="00930B67"/>
    <w:rsid w:val="0093148C"/>
    <w:rsid w:val="0093177D"/>
    <w:rsid w:val="0093226C"/>
    <w:rsid w:val="0093424F"/>
    <w:rsid w:val="00934450"/>
    <w:rsid w:val="00934520"/>
    <w:rsid w:val="0093490A"/>
    <w:rsid w:val="00936C4D"/>
    <w:rsid w:val="009407FC"/>
    <w:rsid w:val="00942210"/>
    <w:rsid w:val="009431F4"/>
    <w:rsid w:val="0094470B"/>
    <w:rsid w:val="00946344"/>
    <w:rsid w:val="00946AD8"/>
    <w:rsid w:val="00946B09"/>
    <w:rsid w:val="00947A2E"/>
    <w:rsid w:val="00947A8C"/>
    <w:rsid w:val="009501A8"/>
    <w:rsid w:val="009522B5"/>
    <w:rsid w:val="00952497"/>
    <w:rsid w:val="00952990"/>
    <w:rsid w:val="00952EE3"/>
    <w:rsid w:val="009534E5"/>
    <w:rsid w:val="009543B7"/>
    <w:rsid w:val="0095548A"/>
    <w:rsid w:val="009577C0"/>
    <w:rsid w:val="00960362"/>
    <w:rsid w:val="0096320F"/>
    <w:rsid w:val="0096354D"/>
    <w:rsid w:val="00963F2F"/>
    <w:rsid w:val="00964FFD"/>
    <w:rsid w:val="009650D3"/>
    <w:rsid w:val="009651BF"/>
    <w:rsid w:val="00966317"/>
    <w:rsid w:val="00967C93"/>
    <w:rsid w:val="00970A35"/>
    <w:rsid w:val="00972274"/>
    <w:rsid w:val="0097228D"/>
    <w:rsid w:val="00974C58"/>
    <w:rsid w:val="009774EA"/>
    <w:rsid w:val="009803C8"/>
    <w:rsid w:val="00981782"/>
    <w:rsid w:val="00982BBF"/>
    <w:rsid w:val="00982EC6"/>
    <w:rsid w:val="009832FA"/>
    <w:rsid w:val="00983F1C"/>
    <w:rsid w:val="00983FC3"/>
    <w:rsid w:val="0098426B"/>
    <w:rsid w:val="00984CB6"/>
    <w:rsid w:val="00986A33"/>
    <w:rsid w:val="00986B3E"/>
    <w:rsid w:val="00986F57"/>
    <w:rsid w:val="00986FF8"/>
    <w:rsid w:val="00987B5D"/>
    <w:rsid w:val="00991981"/>
    <w:rsid w:val="009928E4"/>
    <w:rsid w:val="009931D2"/>
    <w:rsid w:val="00994B43"/>
    <w:rsid w:val="009951D2"/>
    <w:rsid w:val="00995B2E"/>
    <w:rsid w:val="00996BCC"/>
    <w:rsid w:val="009A27F0"/>
    <w:rsid w:val="009A32E1"/>
    <w:rsid w:val="009A3493"/>
    <w:rsid w:val="009A3A83"/>
    <w:rsid w:val="009A450E"/>
    <w:rsid w:val="009A62B6"/>
    <w:rsid w:val="009A6940"/>
    <w:rsid w:val="009B036B"/>
    <w:rsid w:val="009B32E1"/>
    <w:rsid w:val="009B3E98"/>
    <w:rsid w:val="009B5FFB"/>
    <w:rsid w:val="009B6D7D"/>
    <w:rsid w:val="009B70C5"/>
    <w:rsid w:val="009C002F"/>
    <w:rsid w:val="009C0A93"/>
    <w:rsid w:val="009C0FDF"/>
    <w:rsid w:val="009C212A"/>
    <w:rsid w:val="009C2773"/>
    <w:rsid w:val="009C287B"/>
    <w:rsid w:val="009C3C53"/>
    <w:rsid w:val="009C47A9"/>
    <w:rsid w:val="009C554C"/>
    <w:rsid w:val="009C5B97"/>
    <w:rsid w:val="009C5D25"/>
    <w:rsid w:val="009D0735"/>
    <w:rsid w:val="009D085B"/>
    <w:rsid w:val="009D086D"/>
    <w:rsid w:val="009D08B9"/>
    <w:rsid w:val="009D1532"/>
    <w:rsid w:val="009D1DB2"/>
    <w:rsid w:val="009D2374"/>
    <w:rsid w:val="009D4284"/>
    <w:rsid w:val="009D4BB7"/>
    <w:rsid w:val="009D6E25"/>
    <w:rsid w:val="009D79B8"/>
    <w:rsid w:val="009E01C5"/>
    <w:rsid w:val="009E0D78"/>
    <w:rsid w:val="009E27AE"/>
    <w:rsid w:val="009E3805"/>
    <w:rsid w:val="009E56B1"/>
    <w:rsid w:val="009E577E"/>
    <w:rsid w:val="009E5F54"/>
    <w:rsid w:val="009E6B5F"/>
    <w:rsid w:val="009E74C1"/>
    <w:rsid w:val="009E77C1"/>
    <w:rsid w:val="009F0F03"/>
    <w:rsid w:val="009F2A2A"/>
    <w:rsid w:val="009F3C47"/>
    <w:rsid w:val="009F3FB5"/>
    <w:rsid w:val="009F5175"/>
    <w:rsid w:val="009F6A42"/>
    <w:rsid w:val="009F72BD"/>
    <w:rsid w:val="00A009E8"/>
    <w:rsid w:val="00A00C0A"/>
    <w:rsid w:val="00A012BB"/>
    <w:rsid w:val="00A01328"/>
    <w:rsid w:val="00A01FFB"/>
    <w:rsid w:val="00A02907"/>
    <w:rsid w:val="00A042E2"/>
    <w:rsid w:val="00A04446"/>
    <w:rsid w:val="00A04A61"/>
    <w:rsid w:val="00A04D4E"/>
    <w:rsid w:val="00A061E2"/>
    <w:rsid w:val="00A06D77"/>
    <w:rsid w:val="00A077BF"/>
    <w:rsid w:val="00A10B63"/>
    <w:rsid w:val="00A11625"/>
    <w:rsid w:val="00A128DC"/>
    <w:rsid w:val="00A12A02"/>
    <w:rsid w:val="00A15D8D"/>
    <w:rsid w:val="00A16235"/>
    <w:rsid w:val="00A20BBE"/>
    <w:rsid w:val="00A21B82"/>
    <w:rsid w:val="00A224C2"/>
    <w:rsid w:val="00A23002"/>
    <w:rsid w:val="00A233C3"/>
    <w:rsid w:val="00A23ABE"/>
    <w:rsid w:val="00A24BD5"/>
    <w:rsid w:val="00A253E2"/>
    <w:rsid w:val="00A2578B"/>
    <w:rsid w:val="00A25FFD"/>
    <w:rsid w:val="00A26790"/>
    <w:rsid w:val="00A27BB3"/>
    <w:rsid w:val="00A30060"/>
    <w:rsid w:val="00A31D59"/>
    <w:rsid w:val="00A32059"/>
    <w:rsid w:val="00A32610"/>
    <w:rsid w:val="00A32E57"/>
    <w:rsid w:val="00A3440A"/>
    <w:rsid w:val="00A35276"/>
    <w:rsid w:val="00A36777"/>
    <w:rsid w:val="00A3725E"/>
    <w:rsid w:val="00A379E2"/>
    <w:rsid w:val="00A37D2E"/>
    <w:rsid w:val="00A41C3E"/>
    <w:rsid w:val="00A42BF0"/>
    <w:rsid w:val="00A43BEC"/>
    <w:rsid w:val="00A44057"/>
    <w:rsid w:val="00A44ACE"/>
    <w:rsid w:val="00A44B2B"/>
    <w:rsid w:val="00A45349"/>
    <w:rsid w:val="00A458DE"/>
    <w:rsid w:val="00A4777B"/>
    <w:rsid w:val="00A47DC7"/>
    <w:rsid w:val="00A50CA2"/>
    <w:rsid w:val="00A51A05"/>
    <w:rsid w:val="00A51FA0"/>
    <w:rsid w:val="00A52322"/>
    <w:rsid w:val="00A52FAF"/>
    <w:rsid w:val="00A55859"/>
    <w:rsid w:val="00A55D3A"/>
    <w:rsid w:val="00A637AA"/>
    <w:rsid w:val="00A637E3"/>
    <w:rsid w:val="00A63DF5"/>
    <w:rsid w:val="00A66BB2"/>
    <w:rsid w:val="00A705CD"/>
    <w:rsid w:val="00A722B6"/>
    <w:rsid w:val="00A730BE"/>
    <w:rsid w:val="00A73743"/>
    <w:rsid w:val="00A7493E"/>
    <w:rsid w:val="00A751AF"/>
    <w:rsid w:val="00A75212"/>
    <w:rsid w:val="00A75C82"/>
    <w:rsid w:val="00A80AF7"/>
    <w:rsid w:val="00A865F2"/>
    <w:rsid w:val="00A8773C"/>
    <w:rsid w:val="00A901C1"/>
    <w:rsid w:val="00A90B97"/>
    <w:rsid w:val="00A915B6"/>
    <w:rsid w:val="00A91EFF"/>
    <w:rsid w:val="00A93125"/>
    <w:rsid w:val="00A9642A"/>
    <w:rsid w:val="00A97B2E"/>
    <w:rsid w:val="00AA2C71"/>
    <w:rsid w:val="00AA4C21"/>
    <w:rsid w:val="00AA6FB6"/>
    <w:rsid w:val="00AB0B39"/>
    <w:rsid w:val="00AB1139"/>
    <w:rsid w:val="00AB1FCA"/>
    <w:rsid w:val="00AB31C4"/>
    <w:rsid w:val="00AB425D"/>
    <w:rsid w:val="00AB48A4"/>
    <w:rsid w:val="00AC087A"/>
    <w:rsid w:val="00AC0D56"/>
    <w:rsid w:val="00AC1C84"/>
    <w:rsid w:val="00AC3D10"/>
    <w:rsid w:val="00AC468F"/>
    <w:rsid w:val="00AC52A5"/>
    <w:rsid w:val="00AC63F4"/>
    <w:rsid w:val="00AC6D81"/>
    <w:rsid w:val="00AD1BFE"/>
    <w:rsid w:val="00AD2654"/>
    <w:rsid w:val="00AD265C"/>
    <w:rsid w:val="00AD3868"/>
    <w:rsid w:val="00AD67CD"/>
    <w:rsid w:val="00AE01C6"/>
    <w:rsid w:val="00AE1BC0"/>
    <w:rsid w:val="00AE30A8"/>
    <w:rsid w:val="00AE40A4"/>
    <w:rsid w:val="00AE4CE0"/>
    <w:rsid w:val="00AE63A9"/>
    <w:rsid w:val="00AE7701"/>
    <w:rsid w:val="00AF00B9"/>
    <w:rsid w:val="00AF18EC"/>
    <w:rsid w:val="00AF1CC2"/>
    <w:rsid w:val="00AF43CB"/>
    <w:rsid w:val="00AF43F6"/>
    <w:rsid w:val="00AF4E80"/>
    <w:rsid w:val="00AF4ED3"/>
    <w:rsid w:val="00AF5A9F"/>
    <w:rsid w:val="00B00D28"/>
    <w:rsid w:val="00B0113F"/>
    <w:rsid w:val="00B02BEE"/>
    <w:rsid w:val="00B02E45"/>
    <w:rsid w:val="00B03467"/>
    <w:rsid w:val="00B04569"/>
    <w:rsid w:val="00B04D23"/>
    <w:rsid w:val="00B04DA4"/>
    <w:rsid w:val="00B05BDB"/>
    <w:rsid w:val="00B05CB9"/>
    <w:rsid w:val="00B05CC7"/>
    <w:rsid w:val="00B06F96"/>
    <w:rsid w:val="00B07B6F"/>
    <w:rsid w:val="00B103E5"/>
    <w:rsid w:val="00B1254D"/>
    <w:rsid w:val="00B1559C"/>
    <w:rsid w:val="00B15892"/>
    <w:rsid w:val="00B17523"/>
    <w:rsid w:val="00B2033D"/>
    <w:rsid w:val="00B2070E"/>
    <w:rsid w:val="00B21456"/>
    <w:rsid w:val="00B225B2"/>
    <w:rsid w:val="00B22AD9"/>
    <w:rsid w:val="00B25E1A"/>
    <w:rsid w:val="00B26BF2"/>
    <w:rsid w:val="00B2719F"/>
    <w:rsid w:val="00B273A4"/>
    <w:rsid w:val="00B30B18"/>
    <w:rsid w:val="00B30C69"/>
    <w:rsid w:val="00B30E2F"/>
    <w:rsid w:val="00B31139"/>
    <w:rsid w:val="00B336B6"/>
    <w:rsid w:val="00B342B4"/>
    <w:rsid w:val="00B34506"/>
    <w:rsid w:val="00B3561B"/>
    <w:rsid w:val="00B35B8A"/>
    <w:rsid w:val="00B3700A"/>
    <w:rsid w:val="00B37A0D"/>
    <w:rsid w:val="00B37EA3"/>
    <w:rsid w:val="00B42170"/>
    <w:rsid w:val="00B42174"/>
    <w:rsid w:val="00B44ED3"/>
    <w:rsid w:val="00B46F3A"/>
    <w:rsid w:val="00B47178"/>
    <w:rsid w:val="00B50440"/>
    <w:rsid w:val="00B5073B"/>
    <w:rsid w:val="00B51FAB"/>
    <w:rsid w:val="00B52739"/>
    <w:rsid w:val="00B52F12"/>
    <w:rsid w:val="00B5337D"/>
    <w:rsid w:val="00B5654E"/>
    <w:rsid w:val="00B641C2"/>
    <w:rsid w:val="00B64358"/>
    <w:rsid w:val="00B65140"/>
    <w:rsid w:val="00B652C9"/>
    <w:rsid w:val="00B660CB"/>
    <w:rsid w:val="00B7211E"/>
    <w:rsid w:val="00B72637"/>
    <w:rsid w:val="00B73D3C"/>
    <w:rsid w:val="00B756BE"/>
    <w:rsid w:val="00B76712"/>
    <w:rsid w:val="00B76D2B"/>
    <w:rsid w:val="00B76DDB"/>
    <w:rsid w:val="00B77AE7"/>
    <w:rsid w:val="00B80E88"/>
    <w:rsid w:val="00B83427"/>
    <w:rsid w:val="00B8346A"/>
    <w:rsid w:val="00B83FD3"/>
    <w:rsid w:val="00B83FE8"/>
    <w:rsid w:val="00B86B75"/>
    <w:rsid w:val="00B86D59"/>
    <w:rsid w:val="00B879A0"/>
    <w:rsid w:val="00B87B6F"/>
    <w:rsid w:val="00B91719"/>
    <w:rsid w:val="00B9470C"/>
    <w:rsid w:val="00B9526E"/>
    <w:rsid w:val="00B962B3"/>
    <w:rsid w:val="00B967C7"/>
    <w:rsid w:val="00B97143"/>
    <w:rsid w:val="00BA039E"/>
    <w:rsid w:val="00BA1CF9"/>
    <w:rsid w:val="00BA6B5B"/>
    <w:rsid w:val="00BA6CE8"/>
    <w:rsid w:val="00BA72A4"/>
    <w:rsid w:val="00BB0FE8"/>
    <w:rsid w:val="00BB118B"/>
    <w:rsid w:val="00BB2A80"/>
    <w:rsid w:val="00BB2D74"/>
    <w:rsid w:val="00BB6D69"/>
    <w:rsid w:val="00BB7485"/>
    <w:rsid w:val="00BC02C8"/>
    <w:rsid w:val="00BC0379"/>
    <w:rsid w:val="00BC0C22"/>
    <w:rsid w:val="00BC1D49"/>
    <w:rsid w:val="00BC2A22"/>
    <w:rsid w:val="00BC2AF5"/>
    <w:rsid w:val="00BC3090"/>
    <w:rsid w:val="00BC33F3"/>
    <w:rsid w:val="00BC3B9F"/>
    <w:rsid w:val="00BC3E76"/>
    <w:rsid w:val="00BC3F82"/>
    <w:rsid w:val="00BC4B0A"/>
    <w:rsid w:val="00BC4D88"/>
    <w:rsid w:val="00BC64B0"/>
    <w:rsid w:val="00BC70D6"/>
    <w:rsid w:val="00BC7D67"/>
    <w:rsid w:val="00BD1D04"/>
    <w:rsid w:val="00BD4054"/>
    <w:rsid w:val="00BD50C0"/>
    <w:rsid w:val="00BD6EDA"/>
    <w:rsid w:val="00BD7A84"/>
    <w:rsid w:val="00BE0355"/>
    <w:rsid w:val="00BE1130"/>
    <w:rsid w:val="00BE1227"/>
    <w:rsid w:val="00BE1A1C"/>
    <w:rsid w:val="00BE4712"/>
    <w:rsid w:val="00BE51B7"/>
    <w:rsid w:val="00BE5D00"/>
    <w:rsid w:val="00BE76F5"/>
    <w:rsid w:val="00BF068C"/>
    <w:rsid w:val="00BF06B0"/>
    <w:rsid w:val="00BF2CE7"/>
    <w:rsid w:val="00BF606E"/>
    <w:rsid w:val="00BF68B5"/>
    <w:rsid w:val="00BF701A"/>
    <w:rsid w:val="00BF7114"/>
    <w:rsid w:val="00C00CEB"/>
    <w:rsid w:val="00C0260A"/>
    <w:rsid w:val="00C04348"/>
    <w:rsid w:val="00C04C19"/>
    <w:rsid w:val="00C05C9D"/>
    <w:rsid w:val="00C05EC8"/>
    <w:rsid w:val="00C10507"/>
    <w:rsid w:val="00C12CD0"/>
    <w:rsid w:val="00C12E4E"/>
    <w:rsid w:val="00C146FE"/>
    <w:rsid w:val="00C150BC"/>
    <w:rsid w:val="00C153CD"/>
    <w:rsid w:val="00C15823"/>
    <w:rsid w:val="00C170B9"/>
    <w:rsid w:val="00C1730D"/>
    <w:rsid w:val="00C173F2"/>
    <w:rsid w:val="00C17591"/>
    <w:rsid w:val="00C20810"/>
    <w:rsid w:val="00C2146A"/>
    <w:rsid w:val="00C222A1"/>
    <w:rsid w:val="00C22942"/>
    <w:rsid w:val="00C22C81"/>
    <w:rsid w:val="00C24096"/>
    <w:rsid w:val="00C2623F"/>
    <w:rsid w:val="00C26245"/>
    <w:rsid w:val="00C26AC3"/>
    <w:rsid w:val="00C26CF0"/>
    <w:rsid w:val="00C30689"/>
    <w:rsid w:val="00C307F1"/>
    <w:rsid w:val="00C30AB9"/>
    <w:rsid w:val="00C31A24"/>
    <w:rsid w:val="00C31F67"/>
    <w:rsid w:val="00C321C4"/>
    <w:rsid w:val="00C32F12"/>
    <w:rsid w:val="00C3564B"/>
    <w:rsid w:val="00C3580E"/>
    <w:rsid w:val="00C35B1B"/>
    <w:rsid w:val="00C37AD9"/>
    <w:rsid w:val="00C4032E"/>
    <w:rsid w:val="00C410C4"/>
    <w:rsid w:val="00C41632"/>
    <w:rsid w:val="00C42579"/>
    <w:rsid w:val="00C4529B"/>
    <w:rsid w:val="00C4693F"/>
    <w:rsid w:val="00C50628"/>
    <w:rsid w:val="00C506BF"/>
    <w:rsid w:val="00C51691"/>
    <w:rsid w:val="00C52803"/>
    <w:rsid w:val="00C52B4C"/>
    <w:rsid w:val="00C53F3D"/>
    <w:rsid w:val="00C54382"/>
    <w:rsid w:val="00C573E7"/>
    <w:rsid w:val="00C6037A"/>
    <w:rsid w:val="00C608FB"/>
    <w:rsid w:val="00C636D0"/>
    <w:rsid w:val="00C66B7D"/>
    <w:rsid w:val="00C7123B"/>
    <w:rsid w:val="00C71986"/>
    <w:rsid w:val="00C72918"/>
    <w:rsid w:val="00C733E9"/>
    <w:rsid w:val="00C73617"/>
    <w:rsid w:val="00C73D0B"/>
    <w:rsid w:val="00C768B0"/>
    <w:rsid w:val="00C77CAF"/>
    <w:rsid w:val="00C80B33"/>
    <w:rsid w:val="00C81841"/>
    <w:rsid w:val="00C82A76"/>
    <w:rsid w:val="00C83393"/>
    <w:rsid w:val="00C846E5"/>
    <w:rsid w:val="00C84700"/>
    <w:rsid w:val="00C86761"/>
    <w:rsid w:val="00C86870"/>
    <w:rsid w:val="00C91227"/>
    <w:rsid w:val="00C922A6"/>
    <w:rsid w:val="00C92458"/>
    <w:rsid w:val="00C964F2"/>
    <w:rsid w:val="00C96D2B"/>
    <w:rsid w:val="00CA0EDC"/>
    <w:rsid w:val="00CA1152"/>
    <w:rsid w:val="00CA1160"/>
    <w:rsid w:val="00CA185F"/>
    <w:rsid w:val="00CA2D7F"/>
    <w:rsid w:val="00CA4AA5"/>
    <w:rsid w:val="00CA6D7B"/>
    <w:rsid w:val="00CA7233"/>
    <w:rsid w:val="00CA7F57"/>
    <w:rsid w:val="00CB040B"/>
    <w:rsid w:val="00CB0998"/>
    <w:rsid w:val="00CB158B"/>
    <w:rsid w:val="00CB2273"/>
    <w:rsid w:val="00CB2883"/>
    <w:rsid w:val="00CB32DD"/>
    <w:rsid w:val="00CB74D6"/>
    <w:rsid w:val="00CB7CCA"/>
    <w:rsid w:val="00CC19C5"/>
    <w:rsid w:val="00CC206E"/>
    <w:rsid w:val="00CC2CF7"/>
    <w:rsid w:val="00CC361D"/>
    <w:rsid w:val="00CC4D70"/>
    <w:rsid w:val="00CC5FD2"/>
    <w:rsid w:val="00CD01DF"/>
    <w:rsid w:val="00CD0B56"/>
    <w:rsid w:val="00CD14B0"/>
    <w:rsid w:val="00CD1744"/>
    <w:rsid w:val="00CD18CD"/>
    <w:rsid w:val="00CD49C2"/>
    <w:rsid w:val="00CD525B"/>
    <w:rsid w:val="00CD7B88"/>
    <w:rsid w:val="00CE276A"/>
    <w:rsid w:val="00CE294E"/>
    <w:rsid w:val="00CE3C38"/>
    <w:rsid w:val="00CF12BC"/>
    <w:rsid w:val="00CF13BF"/>
    <w:rsid w:val="00CF217A"/>
    <w:rsid w:val="00CF26A1"/>
    <w:rsid w:val="00CF308C"/>
    <w:rsid w:val="00CF390F"/>
    <w:rsid w:val="00CF3BB3"/>
    <w:rsid w:val="00CF5383"/>
    <w:rsid w:val="00CF606C"/>
    <w:rsid w:val="00CF72D6"/>
    <w:rsid w:val="00CF73EE"/>
    <w:rsid w:val="00CF75B3"/>
    <w:rsid w:val="00CF7CA3"/>
    <w:rsid w:val="00D029B7"/>
    <w:rsid w:val="00D02F40"/>
    <w:rsid w:val="00D03227"/>
    <w:rsid w:val="00D03FA2"/>
    <w:rsid w:val="00D04E99"/>
    <w:rsid w:val="00D078B1"/>
    <w:rsid w:val="00D100AC"/>
    <w:rsid w:val="00D130C8"/>
    <w:rsid w:val="00D13C52"/>
    <w:rsid w:val="00D13E76"/>
    <w:rsid w:val="00D20B01"/>
    <w:rsid w:val="00D226D3"/>
    <w:rsid w:val="00D22908"/>
    <w:rsid w:val="00D24B13"/>
    <w:rsid w:val="00D25828"/>
    <w:rsid w:val="00D25D43"/>
    <w:rsid w:val="00D26201"/>
    <w:rsid w:val="00D26B65"/>
    <w:rsid w:val="00D275D2"/>
    <w:rsid w:val="00D30E5A"/>
    <w:rsid w:val="00D326C4"/>
    <w:rsid w:val="00D33D09"/>
    <w:rsid w:val="00D34A07"/>
    <w:rsid w:val="00D35837"/>
    <w:rsid w:val="00D35B4D"/>
    <w:rsid w:val="00D371FD"/>
    <w:rsid w:val="00D40190"/>
    <w:rsid w:val="00D403E9"/>
    <w:rsid w:val="00D42CF0"/>
    <w:rsid w:val="00D43964"/>
    <w:rsid w:val="00D43F5E"/>
    <w:rsid w:val="00D44B03"/>
    <w:rsid w:val="00D46CDB"/>
    <w:rsid w:val="00D475B9"/>
    <w:rsid w:val="00D5105B"/>
    <w:rsid w:val="00D52EF3"/>
    <w:rsid w:val="00D531AD"/>
    <w:rsid w:val="00D537B5"/>
    <w:rsid w:val="00D541A4"/>
    <w:rsid w:val="00D54A8D"/>
    <w:rsid w:val="00D561FC"/>
    <w:rsid w:val="00D579A7"/>
    <w:rsid w:val="00D57AE3"/>
    <w:rsid w:val="00D602A8"/>
    <w:rsid w:val="00D6047B"/>
    <w:rsid w:val="00D61AEE"/>
    <w:rsid w:val="00D61B60"/>
    <w:rsid w:val="00D639AB"/>
    <w:rsid w:val="00D64C21"/>
    <w:rsid w:val="00D658F5"/>
    <w:rsid w:val="00D664AC"/>
    <w:rsid w:val="00D66C31"/>
    <w:rsid w:val="00D67408"/>
    <w:rsid w:val="00D70A3B"/>
    <w:rsid w:val="00D71BF7"/>
    <w:rsid w:val="00D71C96"/>
    <w:rsid w:val="00D725B4"/>
    <w:rsid w:val="00D725DF"/>
    <w:rsid w:val="00D744FA"/>
    <w:rsid w:val="00D745EB"/>
    <w:rsid w:val="00D75908"/>
    <w:rsid w:val="00D77151"/>
    <w:rsid w:val="00D77CB0"/>
    <w:rsid w:val="00D83C17"/>
    <w:rsid w:val="00D83C57"/>
    <w:rsid w:val="00D842EB"/>
    <w:rsid w:val="00D84E6B"/>
    <w:rsid w:val="00D863B0"/>
    <w:rsid w:val="00D9060D"/>
    <w:rsid w:val="00D91654"/>
    <w:rsid w:val="00D92261"/>
    <w:rsid w:val="00D93D6A"/>
    <w:rsid w:val="00D940C0"/>
    <w:rsid w:val="00D94F54"/>
    <w:rsid w:val="00DA0083"/>
    <w:rsid w:val="00DA0808"/>
    <w:rsid w:val="00DA08AD"/>
    <w:rsid w:val="00DA0CCD"/>
    <w:rsid w:val="00DA1301"/>
    <w:rsid w:val="00DA1C6F"/>
    <w:rsid w:val="00DA3ECF"/>
    <w:rsid w:val="00DA797E"/>
    <w:rsid w:val="00DB11ED"/>
    <w:rsid w:val="00DB1448"/>
    <w:rsid w:val="00DB1B50"/>
    <w:rsid w:val="00DB359B"/>
    <w:rsid w:val="00DB666B"/>
    <w:rsid w:val="00DB7B6E"/>
    <w:rsid w:val="00DC0075"/>
    <w:rsid w:val="00DC00C6"/>
    <w:rsid w:val="00DC017E"/>
    <w:rsid w:val="00DC61D2"/>
    <w:rsid w:val="00DC6DCF"/>
    <w:rsid w:val="00DC71D5"/>
    <w:rsid w:val="00DD0315"/>
    <w:rsid w:val="00DD10DC"/>
    <w:rsid w:val="00DD426A"/>
    <w:rsid w:val="00DD56C7"/>
    <w:rsid w:val="00DD5930"/>
    <w:rsid w:val="00DD763A"/>
    <w:rsid w:val="00DE05EC"/>
    <w:rsid w:val="00DE06C9"/>
    <w:rsid w:val="00DE141F"/>
    <w:rsid w:val="00DE24FA"/>
    <w:rsid w:val="00DE2A6D"/>
    <w:rsid w:val="00DE41C5"/>
    <w:rsid w:val="00DE58C2"/>
    <w:rsid w:val="00DE64FA"/>
    <w:rsid w:val="00DE732A"/>
    <w:rsid w:val="00DE7DB7"/>
    <w:rsid w:val="00DF1D47"/>
    <w:rsid w:val="00DF1EA2"/>
    <w:rsid w:val="00DF3569"/>
    <w:rsid w:val="00DF36B7"/>
    <w:rsid w:val="00DF4A80"/>
    <w:rsid w:val="00DF5682"/>
    <w:rsid w:val="00DF6552"/>
    <w:rsid w:val="00DF7403"/>
    <w:rsid w:val="00DF79DB"/>
    <w:rsid w:val="00E009B8"/>
    <w:rsid w:val="00E00D9E"/>
    <w:rsid w:val="00E03D28"/>
    <w:rsid w:val="00E04438"/>
    <w:rsid w:val="00E04866"/>
    <w:rsid w:val="00E04D18"/>
    <w:rsid w:val="00E0675D"/>
    <w:rsid w:val="00E10487"/>
    <w:rsid w:val="00E11077"/>
    <w:rsid w:val="00E116C7"/>
    <w:rsid w:val="00E12F3B"/>
    <w:rsid w:val="00E1391B"/>
    <w:rsid w:val="00E13A12"/>
    <w:rsid w:val="00E144DD"/>
    <w:rsid w:val="00E14724"/>
    <w:rsid w:val="00E218A3"/>
    <w:rsid w:val="00E21E54"/>
    <w:rsid w:val="00E22AD4"/>
    <w:rsid w:val="00E25B22"/>
    <w:rsid w:val="00E2613A"/>
    <w:rsid w:val="00E26DA5"/>
    <w:rsid w:val="00E276EA"/>
    <w:rsid w:val="00E30BF2"/>
    <w:rsid w:val="00E30E59"/>
    <w:rsid w:val="00E310E3"/>
    <w:rsid w:val="00E32964"/>
    <w:rsid w:val="00E32F5F"/>
    <w:rsid w:val="00E33449"/>
    <w:rsid w:val="00E3448B"/>
    <w:rsid w:val="00E34A5B"/>
    <w:rsid w:val="00E351D5"/>
    <w:rsid w:val="00E35B39"/>
    <w:rsid w:val="00E35D2B"/>
    <w:rsid w:val="00E35F46"/>
    <w:rsid w:val="00E41282"/>
    <w:rsid w:val="00E4153D"/>
    <w:rsid w:val="00E41623"/>
    <w:rsid w:val="00E41C01"/>
    <w:rsid w:val="00E4236D"/>
    <w:rsid w:val="00E43E3F"/>
    <w:rsid w:val="00E44412"/>
    <w:rsid w:val="00E454AF"/>
    <w:rsid w:val="00E4585C"/>
    <w:rsid w:val="00E45F09"/>
    <w:rsid w:val="00E45F7C"/>
    <w:rsid w:val="00E4621C"/>
    <w:rsid w:val="00E46854"/>
    <w:rsid w:val="00E5061C"/>
    <w:rsid w:val="00E52ADF"/>
    <w:rsid w:val="00E52D20"/>
    <w:rsid w:val="00E53292"/>
    <w:rsid w:val="00E534F9"/>
    <w:rsid w:val="00E55A37"/>
    <w:rsid w:val="00E55A46"/>
    <w:rsid w:val="00E56FB3"/>
    <w:rsid w:val="00E601CA"/>
    <w:rsid w:val="00E60AB7"/>
    <w:rsid w:val="00E60ADA"/>
    <w:rsid w:val="00E60D78"/>
    <w:rsid w:val="00E60E59"/>
    <w:rsid w:val="00E6102B"/>
    <w:rsid w:val="00E63C86"/>
    <w:rsid w:val="00E63CFA"/>
    <w:rsid w:val="00E641F3"/>
    <w:rsid w:val="00E658D9"/>
    <w:rsid w:val="00E66FED"/>
    <w:rsid w:val="00E70BA0"/>
    <w:rsid w:val="00E71968"/>
    <w:rsid w:val="00E7434B"/>
    <w:rsid w:val="00E74E18"/>
    <w:rsid w:val="00E80171"/>
    <w:rsid w:val="00E81D2A"/>
    <w:rsid w:val="00E8241E"/>
    <w:rsid w:val="00E831FD"/>
    <w:rsid w:val="00E84204"/>
    <w:rsid w:val="00E84219"/>
    <w:rsid w:val="00E8435A"/>
    <w:rsid w:val="00E850C1"/>
    <w:rsid w:val="00E87A01"/>
    <w:rsid w:val="00E90DE2"/>
    <w:rsid w:val="00E90FC6"/>
    <w:rsid w:val="00E93220"/>
    <w:rsid w:val="00E94444"/>
    <w:rsid w:val="00E9554A"/>
    <w:rsid w:val="00EA08A5"/>
    <w:rsid w:val="00EA10F2"/>
    <w:rsid w:val="00EA16D0"/>
    <w:rsid w:val="00EA2652"/>
    <w:rsid w:val="00EA41C4"/>
    <w:rsid w:val="00EA463F"/>
    <w:rsid w:val="00EA608F"/>
    <w:rsid w:val="00EB052C"/>
    <w:rsid w:val="00EB160F"/>
    <w:rsid w:val="00EB420F"/>
    <w:rsid w:val="00EB42C2"/>
    <w:rsid w:val="00EB4465"/>
    <w:rsid w:val="00EB5F42"/>
    <w:rsid w:val="00EB62B1"/>
    <w:rsid w:val="00EB7024"/>
    <w:rsid w:val="00EC02E6"/>
    <w:rsid w:val="00EC0F9B"/>
    <w:rsid w:val="00EC21C0"/>
    <w:rsid w:val="00EC2CF7"/>
    <w:rsid w:val="00EC358A"/>
    <w:rsid w:val="00EC389D"/>
    <w:rsid w:val="00EC424A"/>
    <w:rsid w:val="00EC583E"/>
    <w:rsid w:val="00EC6C8F"/>
    <w:rsid w:val="00EC7116"/>
    <w:rsid w:val="00ED0219"/>
    <w:rsid w:val="00ED117F"/>
    <w:rsid w:val="00ED604E"/>
    <w:rsid w:val="00ED61DB"/>
    <w:rsid w:val="00ED6FBF"/>
    <w:rsid w:val="00ED71EA"/>
    <w:rsid w:val="00ED765F"/>
    <w:rsid w:val="00ED77CF"/>
    <w:rsid w:val="00EE0675"/>
    <w:rsid w:val="00EE23B7"/>
    <w:rsid w:val="00EE2D78"/>
    <w:rsid w:val="00EE6C0C"/>
    <w:rsid w:val="00EF00E2"/>
    <w:rsid w:val="00EF1013"/>
    <w:rsid w:val="00EF2603"/>
    <w:rsid w:val="00EF2F95"/>
    <w:rsid w:val="00EF3249"/>
    <w:rsid w:val="00EF3357"/>
    <w:rsid w:val="00EF544E"/>
    <w:rsid w:val="00EF613B"/>
    <w:rsid w:val="00EF6A5E"/>
    <w:rsid w:val="00F001F4"/>
    <w:rsid w:val="00F00CCE"/>
    <w:rsid w:val="00F023D4"/>
    <w:rsid w:val="00F025A3"/>
    <w:rsid w:val="00F040A1"/>
    <w:rsid w:val="00F04A5B"/>
    <w:rsid w:val="00F0559E"/>
    <w:rsid w:val="00F060D7"/>
    <w:rsid w:val="00F11196"/>
    <w:rsid w:val="00F11B75"/>
    <w:rsid w:val="00F12E98"/>
    <w:rsid w:val="00F20878"/>
    <w:rsid w:val="00F2285F"/>
    <w:rsid w:val="00F230C9"/>
    <w:rsid w:val="00F23721"/>
    <w:rsid w:val="00F25969"/>
    <w:rsid w:val="00F25D6C"/>
    <w:rsid w:val="00F25F2F"/>
    <w:rsid w:val="00F26036"/>
    <w:rsid w:val="00F30308"/>
    <w:rsid w:val="00F3084B"/>
    <w:rsid w:val="00F30B6A"/>
    <w:rsid w:val="00F30F62"/>
    <w:rsid w:val="00F3260B"/>
    <w:rsid w:val="00F32DD7"/>
    <w:rsid w:val="00F33689"/>
    <w:rsid w:val="00F336F7"/>
    <w:rsid w:val="00F364B2"/>
    <w:rsid w:val="00F36A08"/>
    <w:rsid w:val="00F37011"/>
    <w:rsid w:val="00F37382"/>
    <w:rsid w:val="00F40B13"/>
    <w:rsid w:val="00F41308"/>
    <w:rsid w:val="00F462F6"/>
    <w:rsid w:val="00F47802"/>
    <w:rsid w:val="00F4AEA4"/>
    <w:rsid w:val="00F50143"/>
    <w:rsid w:val="00F51184"/>
    <w:rsid w:val="00F5123D"/>
    <w:rsid w:val="00F52E29"/>
    <w:rsid w:val="00F544D9"/>
    <w:rsid w:val="00F54B67"/>
    <w:rsid w:val="00F5527E"/>
    <w:rsid w:val="00F55C82"/>
    <w:rsid w:val="00F56A2E"/>
    <w:rsid w:val="00F5759D"/>
    <w:rsid w:val="00F60167"/>
    <w:rsid w:val="00F61E4E"/>
    <w:rsid w:val="00F62B75"/>
    <w:rsid w:val="00F645C7"/>
    <w:rsid w:val="00F64CB0"/>
    <w:rsid w:val="00F65F39"/>
    <w:rsid w:val="00F666D3"/>
    <w:rsid w:val="00F67E0A"/>
    <w:rsid w:val="00F70388"/>
    <w:rsid w:val="00F705E2"/>
    <w:rsid w:val="00F711D8"/>
    <w:rsid w:val="00F7239D"/>
    <w:rsid w:val="00F72BD8"/>
    <w:rsid w:val="00F72C61"/>
    <w:rsid w:val="00F744CC"/>
    <w:rsid w:val="00F777C6"/>
    <w:rsid w:val="00F80669"/>
    <w:rsid w:val="00F80EA9"/>
    <w:rsid w:val="00F81C31"/>
    <w:rsid w:val="00F81DD1"/>
    <w:rsid w:val="00F8298D"/>
    <w:rsid w:val="00F8393E"/>
    <w:rsid w:val="00F83DDA"/>
    <w:rsid w:val="00F846D6"/>
    <w:rsid w:val="00F84F5F"/>
    <w:rsid w:val="00F85F4A"/>
    <w:rsid w:val="00F86567"/>
    <w:rsid w:val="00F906C4"/>
    <w:rsid w:val="00F9140B"/>
    <w:rsid w:val="00F926D6"/>
    <w:rsid w:val="00F92725"/>
    <w:rsid w:val="00F92CF9"/>
    <w:rsid w:val="00F9316B"/>
    <w:rsid w:val="00F96CDF"/>
    <w:rsid w:val="00FA113C"/>
    <w:rsid w:val="00FA1F58"/>
    <w:rsid w:val="00FA6038"/>
    <w:rsid w:val="00FB0716"/>
    <w:rsid w:val="00FB1A72"/>
    <w:rsid w:val="00FB202C"/>
    <w:rsid w:val="00FB2579"/>
    <w:rsid w:val="00FB3679"/>
    <w:rsid w:val="00FB3882"/>
    <w:rsid w:val="00FB3DC5"/>
    <w:rsid w:val="00FB4111"/>
    <w:rsid w:val="00FB4A3F"/>
    <w:rsid w:val="00FB4CDC"/>
    <w:rsid w:val="00FB55A9"/>
    <w:rsid w:val="00FB5C29"/>
    <w:rsid w:val="00FB6300"/>
    <w:rsid w:val="00FB6E6F"/>
    <w:rsid w:val="00FC16D9"/>
    <w:rsid w:val="00FC1C5C"/>
    <w:rsid w:val="00FC2983"/>
    <w:rsid w:val="00FC2B0B"/>
    <w:rsid w:val="00FC3951"/>
    <w:rsid w:val="00FC47DE"/>
    <w:rsid w:val="00FD5368"/>
    <w:rsid w:val="00FD6773"/>
    <w:rsid w:val="00FE07F8"/>
    <w:rsid w:val="00FE26DC"/>
    <w:rsid w:val="00FE2869"/>
    <w:rsid w:val="00FE5B0F"/>
    <w:rsid w:val="00FE5DA5"/>
    <w:rsid w:val="00FE6788"/>
    <w:rsid w:val="00FE79F0"/>
    <w:rsid w:val="00FE7C28"/>
    <w:rsid w:val="00FF04F1"/>
    <w:rsid w:val="00FF161F"/>
    <w:rsid w:val="00FF3A46"/>
    <w:rsid w:val="00FF5F19"/>
    <w:rsid w:val="00FF6373"/>
    <w:rsid w:val="00FF7A4D"/>
    <w:rsid w:val="0105B97A"/>
    <w:rsid w:val="010B42A3"/>
    <w:rsid w:val="017093BD"/>
    <w:rsid w:val="019578C2"/>
    <w:rsid w:val="01AC0EF6"/>
    <w:rsid w:val="01B25075"/>
    <w:rsid w:val="0208822E"/>
    <w:rsid w:val="02133C46"/>
    <w:rsid w:val="0244E303"/>
    <w:rsid w:val="025E345B"/>
    <w:rsid w:val="025FF722"/>
    <w:rsid w:val="02884B86"/>
    <w:rsid w:val="02942DCC"/>
    <w:rsid w:val="02B9AD47"/>
    <w:rsid w:val="02C41458"/>
    <w:rsid w:val="02F20AD0"/>
    <w:rsid w:val="031BE16E"/>
    <w:rsid w:val="03274DEB"/>
    <w:rsid w:val="033B9E12"/>
    <w:rsid w:val="03AE24DA"/>
    <w:rsid w:val="03C118FA"/>
    <w:rsid w:val="03C58D55"/>
    <w:rsid w:val="03D3C00F"/>
    <w:rsid w:val="04133881"/>
    <w:rsid w:val="0413739E"/>
    <w:rsid w:val="042CB5F2"/>
    <w:rsid w:val="0444AC71"/>
    <w:rsid w:val="0459311A"/>
    <w:rsid w:val="049594CD"/>
    <w:rsid w:val="04C6575C"/>
    <w:rsid w:val="051612EB"/>
    <w:rsid w:val="05185DCF"/>
    <w:rsid w:val="057B072B"/>
    <w:rsid w:val="0602D828"/>
    <w:rsid w:val="065A450D"/>
    <w:rsid w:val="067AC08C"/>
    <w:rsid w:val="07301298"/>
    <w:rsid w:val="073066F0"/>
    <w:rsid w:val="07586771"/>
    <w:rsid w:val="07689369"/>
    <w:rsid w:val="07C45972"/>
    <w:rsid w:val="07F8FF07"/>
    <w:rsid w:val="08147D3F"/>
    <w:rsid w:val="08183950"/>
    <w:rsid w:val="082C3EC8"/>
    <w:rsid w:val="08631CF8"/>
    <w:rsid w:val="08665818"/>
    <w:rsid w:val="088C4048"/>
    <w:rsid w:val="08DAFD99"/>
    <w:rsid w:val="0933D075"/>
    <w:rsid w:val="09C4090C"/>
    <w:rsid w:val="09DE1058"/>
    <w:rsid w:val="0A717A4C"/>
    <w:rsid w:val="0A744978"/>
    <w:rsid w:val="0B42D763"/>
    <w:rsid w:val="0BECB48A"/>
    <w:rsid w:val="0C2086D7"/>
    <w:rsid w:val="0C31440A"/>
    <w:rsid w:val="0C812D08"/>
    <w:rsid w:val="0C9C66F3"/>
    <w:rsid w:val="0CAC8329"/>
    <w:rsid w:val="0CB3A1FA"/>
    <w:rsid w:val="0CFC8074"/>
    <w:rsid w:val="0D2F9561"/>
    <w:rsid w:val="0D3E3ED0"/>
    <w:rsid w:val="0D5D0924"/>
    <w:rsid w:val="0D5E531E"/>
    <w:rsid w:val="0D7C2EE2"/>
    <w:rsid w:val="0DB0C5CB"/>
    <w:rsid w:val="0DDDA43D"/>
    <w:rsid w:val="0E71CC32"/>
    <w:rsid w:val="0EB6FC64"/>
    <w:rsid w:val="0EBC9475"/>
    <w:rsid w:val="0EE3AA03"/>
    <w:rsid w:val="0EE6BB98"/>
    <w:rsid w:val="0F4F4D10"/>
    <w:rsid w:val="0F749E74"/>
    <w:rsid w:val="0F9A300C"/>
    <w:rsid w:val="0FD31BB0"/>
    <w:rsid w:val="0FE1AC17"/>
    <w:rsid w:val="0FEBF669"/>
    <w:rsid w:val="10388E25"/>
    <w:rsid w:val="10926DF8"/>
    <w:rsid w:val="1093681E"/>
    <w:rsid w:val="10AEDBA0"/>
    <w:rsid w:val="10F2E3B0"/>
    <w:rsid w:val="1126CD96"/>
    <w:rsid w:val="114D524F"/>
    <w:rsid w:val="115BAB52"/>
    <w:rsid w:val="11EF3A7F"/>
    <w:rsid w:val="121451C3"/>
    <w:rsid w:val="12A57CDB"/>
    <w:rsid w:val="12AFED11"/>
    <w:rsid w:val="12BC828A"/>
    <w:rsid w:val="12C16A64"/>
    <w:rsid w:val="1348CA24"/>
    <w:rsid w:val="1395598A"/>
    <w:rsid w:val="1418DD84"/>
    <w:rsid w:val="144C3066"/>
    <w:rsid w:val="1502A3CD"/>
    <w:rsid w:val="15995423"/>
    <w:rsid w:val="16190AFA"/>
    <w:rsid w:val="1637208A"/>
    <w:rsid w:val="164482BA"/>
    <w:rsid w:val="16D1D1A9"/>
    <w:rsid w:val="17035279"/>
    <w:rsid w:val="171C3D43"/>
    <w:rsid w:val="178029ED"/>
    <w:rsid w:val="17E6B459"/>
    <w:rsid w:val="18385D2C"/>
    <w:rsid w:val="18426A8D"/>
    <w:rsid w:val="185302F2"/>
    <w:rsid w:val="188548C9"/>
    <w:rsid w:val="18ACA05B"/>
    <w:rsid w:val="18D5F95E"/>
    <w:rsid w:val="19019BE3"/>
    <w:rsid w:val="1984AECE"/>
    <w:rsid w:val="19E2B818"/>
    <w:rsid w:val="19FA5B08"/>
    <w:rsid w:val="1A167988"/>
    <w:rsid w:val="1AAFA62B"/>
    <w:rsid w:val="1B288810"/>
    <w:rsid w:val="1B830B1B"/>
    <w:rsid w:val="1B89C27C"/>
    <w:rsid w:val="1B8BCFC6"/>
    <w:rsid w:val="1BE40581"/>
    <w:rsid w:val="1CFCA2F2"/>
    <w:rsid w:val="1D2743C2"/>
    <w:rsid w:val="1DA2EFAE"/>
    <w:rsid w:val="1DD6B812"/>
    <w:rsid w:val="1E11E7C3"/>
    <w:rsid w:val="1E12866F"/>
    <w:rsid w:val="1E2670C7"/>
    <w:rsid w:val="1E340154"/>
    <w:rsid w:val="1E47C783"/>
    <w:rsid w:val="1ECCD569"/>
    <w:rsid w:val="1F949E62"/>
    <w:rsid w:val="1FA38759"/>
    <w:rsid w:val="1FBD584A"/>
    <w:rsid w:val="1FDE19C5"/>
    <w:rsid w:val="201BADF2"/>
    <w:rsid w:val="20487133"/>
    <w:rsid w:val="20B22A35"/>
    <w:rsid w:val="20C6994D"/>
    <w:rsid w:val="20D5E804"/>
    <w:rsid w:val="21362EED"/>
    <w:rsid w:val="216A78B9"/>
    <w:rsid w:val="21894A27"/>
    <w:rsid w:val="21F76D23"/>
    <w:rsid w:val="225FAA65"/>
    <w:rsid w:val="2292A6D5"/>
    <w:rsid w:val="229CFE4A"/>
    <w:rsid w:val="22A414EA"/>
    <w:rsid w:val="22FEE540"/>
    <w:rsid w:val="2304EF2F"/>
    <w:rsid w:val="2314AD90"/>
    <w:rsid w:val="23199028"/>
    <w:rsid w:val="23310D9E"/>
    <w:rsid w:val="23512163"/>
    <w:rsid w:val="239685D4"/>
    <w:rsid w:val="23ED22C8"/>
    <w:rsid w:val="23F86C8E"/>
    <w:rsid w:val="242A8014"/>
    <w:rsid w:val="244ED28D"/>
    <w:rsid w:val="2454B918"/>
    <w:rsid w:val="2462FAD9"/>
    <w:rsid w:val="24CA8A94"/>
    <w:rsid w:val="260A5903"/>
    <w:rsid w:val="26274684"/>
    <w:rsid w:val="263A5FB5"/>
    <w:rsid w:val="26496540"/>
    <w:rsid w:val="267BFD96"/>
    <w:rsid w:val="268A1B13"/>
    <w:rsid w:val="2754D60C"/>
    <w:rsid w:val="275F1E33"/>
    <w:rsid w:val="276E51ED"/>
    <w:rsid w:val="27BD30D3"/>
    <w:rsid w:val="2802F413"/>
    <w:rsid w:val="28720E0D"/>
    <w:rsid w:val="28A5803D"/>
    <w:rsid w:val="28A7C4E3"/>
    <w:rsid w:val="28BDDE32"/>
    <w:rsid w:val="28BEB901"/>
    <w:rsid w:val="28CB9631"/>
    <w:rsid w:val="29086D33"/>
    <w:rsid w:val="29468A38"/>
    <w:rsid w:val="294B728A"/>
    <w:rsid w:val="29B5DAA0"/>
    <w:rsid w:val="29D27228"/>
    <w:rsid w:val="2A19DF25"/>
    <w:rsid w:val="2A8B37B9"/>
    <w:rsid w:val="2AF66AB9"/>
    <w:rsid w:val="2B5225B9"/>
    <w:rsid w:val="2B6BEFF0"/>
    <w:rsid w:val="2BAAC644"/>
    <w:rsid w:val="2BDC2DE3"/>
    <w:rsid w:val="2BDEB852"/>
    <w:rsid w:val="2BF4733E"/>
    <w:rsid w:val="2C1DD3C3"/>
    <w:rsid w:val="2C4E56C6"/>
    <w:rsid w:val="2CAC271E"/>
    <w:rsid w:val="2CBAC58D"/>
    <w:rsid w:val="2CCFD229"/>
    <w:rsid w:val="2CF608B0"/>
    <w:rsid w:val="2D5C1C7B"/>
    <w:rsid w:val="2D800A78"/>
    <w:rsid w:val="2D820818"/>
    <w:rsid w:val="2D965325"/>
    <w:rsid w:val="2E207C31"/>
    <w:rsid w:val="2E3696B6"/>
    <w:rsid w:val="2E375728"/>
    <w:rsid w:val="2E6B855D"/>
    <w:rsid w:val="2E6D1084"/>
    <w:rsid w:val="2F415E88"/>
    <w:rsid w:val="2F436AD0"/>
    <w:rsid w:val="3085E41F"/>
    <w:rsid w:val="310D07E2"/>
    <w:rsid w:val="3117AD49"/>
    <w:rsid w:val="3173A7A7"/>
    <w:rsid w:val="31C7CBD6"/>
    <w:rsid w:val="31DE303C"/>
    <w:rsid w:val="31F5B03B"/>
    <w:rsid w:val="323E70B1"/>
    <w:rsid w:val="324829C8"/>
    <w:rsid w:val="32893858"/>
    <w:rsid w:val="32AB5E54"/>
    <w:rsid w:val="32B7BB00"/>
    <w:rsid w:val="32BB9849"/>
    <w:rsid w:val="33197A2B"/>
    <w:rsid w:val="338FD193"/>
    <w:rsid w:val="33CE3871"/>
    <w:rsid w:val="34413B24"/>
    <w:rsid w:val="344EC327"/>
    <w:rsid w:val="3459ACBE"/>
    <w:rsid w:val="345D01F7"/>
    <w:rsid w:val="347A8242"/>
    <w:rsid w:val="34B0D2A6"/>
    <w:rsid w:val="34B66F8F"/>
    <w:rsid w:val="357637A2"/>
    <w:rsid w:val="35AD8D8D"/>
    <w:rsid w:val="3660F252"/>
    <w:rsid w:val="36AAC723"/>
    <w:rsid w:val="3710675F"/>
    <w:rsid w:val="3720A2F1"/>
    <w:rsid w:val="3768BFF6"/>
    <w:rsid w:val="3775F046"/>
    <w:rsid w:val="377AB6CF"/>
    <w:rsid w:val="377C76FE"/>
    <w:rsid w:val="37A0A7EC"/>
    <w:rsid w:val="37BA6ADE"/>
    <w:rsid w:val="3814E1B9"/>
    <w:rsid w:val="386E3775"/>
    <w:rsid w:val="38B0835A"/>
    <w:rsid w:val="38CE74D9"/>
    <w:rsid w:val="38D80006"/>
    <w:rsid w:val="38DEA2D2"/>
    <w:rsid w:val="38F1D7B3"/>
    <w:rsid w:val="391A1DAC"/>
    <w:rsid w:val="3961743B"/>
    <w:rsid w:val="397439F3"/>
    <w:rsid w:val="399624A4"/>
    <w:rsid w:val="399722BB"/>
    <w:rsid w:val="39A0AB0C"/>
    <w:rsid w:val="39A9909A"/>
    <w:rsid w:val="39C12D16"/>
    <w:rsid w:val="39DA8C9C"/>
    <w:rsid w:val="39E7479B"/>
    <w:rsid w:val="39EEED04"/>
    <w:rsid w:val="3A73CCBD"/>
    <w:rsid w:val="3AD1440F"/>
    <w:rsid w:val="3B0A66E6"/>
    <w:rsid w:val="3B30C843"/>
    <w:rsid w:val="3B3B3528"/>
    <w:rsid w:val="3B82197E"/>
    <w:rsid w:val="3B88FB44"/>
    <w:rsid w:val="3BC2804F"/>
    <w:rsid w:val="3BF125CE"/>
    <w:rsid w:val="3BF26FDA"/>
    <w:rsid w:val="3C516790"/>
    <w:rsid w:val="3C5E428E"/>
    <w:rsid w:val="3C6628A0"/>
    <w:rsid w:val="3C6FD568"/>
    <w:rsid w:val="3D3C17E5"/>
    <w:rsid w:val="3D3E5699"/>
    <w:rsid w:val="3D452682"/>
    <w:rsid w:val="3E02ED65"/>
    <w:rsid w:val="3E050B6A"/>
    <w:rsid w:val="3E5F1F54"/>
    <w:rsid w:val="3E7BFCAB"/>
    <w:rsid w:val="3F18B8A7"/>
    <w:rsid w:val="3F2E7EC0"/>
    <w:rsid w:val="3FA53A67"/>
    <w:rsid w:val="3FBD0323"/>
    <w:rsid w:val="3FC564F6"/>
    <w:rsid w:val="3FFF1B06"/>
    <w:rsid w:val="4026CCF4"/>
    <w:rsid w:val="4048AD44"/>
    <w:rsid w:val="405A15AA"/>
    <w:rsid w:val="407FDFA7"/>
    <w:rsid w:val="40E0B148"/>
    <w:rsid w:val="4116B78E"/>
    <w:rsid w:val="41396463"/>
    <w:rsid w:val="41D76A17"/>
    <w:rsid w:val="41FCCC4C"/>
    <w:rsid w:val="420F43B8"/>
    <w:rsid w:val="4228C421"/>
    <w:rsid w:val="423E5209"/>
    <w:rsid w:val="42B714A4"/>
    <w:rsid w:val="42E6C3E5"/>
    <w:rsid w:val="42F17610"/>
    <w:rsid w:val="42FF974F"/>
    <w:rsid w:val="432A3FAE"/>
    <w:rsid w:val="43676C9D"/>
    <w:rsid w:val="4367CC78"/>
    <w:rsid w:val="43881CDE"/>
    <w:rsid w:val="438FF82C"/>
    <w:rsid w:val="43BFBDB8"/>
    <w:rsid w:val="43C002DD"/>
    <w:rsid w:val="43E39EEE"/>
    <w:rsid w:val="440E417F"/>
    <w:rsid w:val="4481D7A9"/>
    <w:rsid w:val="448F8315"/>
    <w:rsid w:val="44981C13"/>
    <w:rsid w:val="44EE038D"/>
    <w:rsid w:val="44F03BA9"/>
    <w:rsid w:val="45179786"/>
    <w:rsid w:val="4518AE4E"/>
    <w:rsid w:val="4564B60E"/>
    <w:rsid w:val="45BF56AC"/>
    <w:rsid w:val="45E3DA26"/>
    <w:rsid w:val="45FE4587"/>
    <w:rsid w:val="4607362E"/>
    <w:rsid w:val="461735A1"/>
    <w:rsid w:val="46359850"/>
    <w:rsid w:val="463AF13C"/>
    <w:rsid w:val="465EDEB8"/>
    <w:rsid w:val="46A03BB6"/>
    <w:rsid w:val="46C72BDD"/>
    <w:rsid w:val="47062A26"/>
    <w:rsid w:val="4708F997"/>
    <w:rsid w:val="47599AE8"/>
    <w:rsid w:val="47AA1E0A"/>
    <w:rsid w:val="47B0A773"/>
    <w:rsid w:val="48060B03"/>
    <w:rsid w:val="480F9679"/>
    <w:rsid w:val="4848FDFC"/>
    <w:rsid w:val="48BD3882"/>
    <w:rsid w:val="48D6B060"/>
    <w:rsid w:val="48F7E081"/>
    <w:rsid w:val="496B4964"/>
    <w:rsid w:val="49C58E09"/>
    <w:rsid w:val="4A0C7975"/>
    <w:rsid w:val="4A1ECE15"/>
    <w:rsid w:val="4A4F8FA1"/>
    <w:rsid w:val="4ADDB2D0"/>
    <w:rsid w:val="4ADE4BEF"/>
    <w:rsid w:val="4AF55D2B"/>
    <w:rsid w:val="4B0EC1F0"/>
    <w:rsid w:val="4B1CB1B4"/>
    <w:rsid w:val="4B348F89"/>
    <w:rsid w:val="4B582B89"/>
    <w:rsid w:val="4B6C40D4"/>
    <w:rsid w:val="4B968125"/>
    <w:rsid w:val="4BBAB3F2"/>
    <w:rsid w:val="4BD84B42"/>
    <w:rsid w:val="4BF716F7"/>
    <w:rsid w:val="4C1C8E60"/>
    <w:rsid w:val="4C21216F"/>
    <w:rsid w:val="4C44D794"/>
    <w:rsid w:val="4C566C43"/>
    <w:rsid w:val="4CAFD327"/>
    <w:rsid w:val="4CB0353D"/>
    <w:rsid w:val="4D0EE876"/>
    <w:rsid w:val="4D549301"/>
    <w:rsid w:val="4D7BB595"/>
    <w:rsid w:val="4E300D38"/>
    <w:rsid w:val="4EA0FC58"/>
    <w:rsid w:val="4EB69AE6"/>
    <w:rsid w:val="4EE7BB7E"/>
    <w:rsid w:val="4EF3F7D7"/>
    <w:rsid w:val="4EF606A4"/>
    <w:rsid w:val="4EFF161E"/>
    <w:rsid w:val="4F38FAA8"/>
    <w:rsid w:val="4F3B51AE"/>
    <w:rsid w:val="4F6AD20D"/>
    <w:rsid w:val="4F7CCBCD"/>
    <w:rsid w:val="4F7E94C2"/>
    <w:rsid w:val="4F804B95"/>
    <w:rsid w:val="4F8883FC"/>
    <w:rsid w:val="4FBC0D25"/>
    <w:rsid w:val="4FC9012B"/>
    <w:rsid w:val="501B69D7"/>
    <w:rsid w:val="50351313"/>
    <w:rsid w:val="503AE3CC"/>
    <w:rsid w:val="5047DF56"/>
    <w:rsid w:val="506C4714"/>
    <w:rsid w:val="5086EF8B"/>
    <w:rsid w:val="509004D8"/>
    <w:rsid w:val="51016929"/>
    <w:rsid w:val="511F9AA1"/>
    <w:rsid w:val="5154CB11"/>
    <w:rsid w:val="517B9C8F"/>
    <w:rsid w:val="5182E5A6"/>
    <w:rsid w:val="5214125E"/>
    <w:rsid w:val="5239E4C5"/>
    <w:rsid w:val="525364BF"/>
    <w:rsid w:val="52DC9229"/>
    <w:rsid w:val="533746F3"/>
    <w:rsid w:val="54100C1D"/>
    <w:rsid w:val="541D19B5"/>
    <w:rsid w:val="544D5833"/>
    <w:rsid w:val="547A9B94"/>
    <w:rsid w:val="54ABFF2A"/>
    <w:rsid w:val="5572311A"/>
    <w:rsid w:val="5584F3D7"/>
    <w:rsid w:val="55C9F0B0"/>
    <w:rsid w:val="55CD4C9C"/>
    <w:rsid w:val="5626F1E8"/>
    <w:rsid w:val="5649A221"/>
    <w:rsid w:val="5680E597"/>
    <w:rsid w:val="568B1F23"/>
    <w:rsid w:val="573548DA"/>
    <w:rsid w:val="57783351"/>
    <w:rsid w:val="592E6C48"/>
    <w:rsid w:val="59436D49"/>
    <w:rsid w:val="5954B9FA"/>
    <w:rsid w:val="5957EBC9"/>
    <w:rsid w:val="598712F3"/>
    <w:rsid w:val="59C99767"/>
    <w:rsid w:val="59FCE84F"/>
    <w:rsid w:val="5A267EEE"/>
    <w:rsid w:val="5A721F93"/>
    <w:rsid w:val="5A7372E0"/>
    <w:rsid w:val="5AAB2945"/>
    <w:rsid w:val="5ADC1CF1"/>
    <w:rsid w:val="5ADC3D20"/>
    <w:rsid w:val="5AF377A0"/>
    <w:rsid w:val="5AFE0840"/>
    <w:rsid w:val="5B165362"/>
    <w:rsid w:val="5B347028"/>
    <w:rsid w:val="5B3F98F9"/>
    <w:rsid w:val="5B88E4EC"/>
    <w:rsid w:val="5B977244"/>
    <w:rsid w:val="5BACD850"/>
    <w:rsid w:val="5C1E6031"/>
    <w:rsid w:val="5CD430F8"/>
    <w:rsid w:val="5CE2A38C"/>
    <w:rsid w:val="5CEE7D7B"/>
    <w:rsid w:val="5D0AD873"/>
    <w:rsid w:val="5D2D940A"/>
    <w:rsid w:val="5D93744F"/>
    <w:rsid w:val="5DA80D0A"/>
    <w:rsid w:val="5DFD22C0"/>
    <w:rsid w:val="5E2852A3"/>
    <w:rsid w:val="5E9D7F2A"/>
    <w:rsid w:val="5EA79825"/>
    <w:rsid w:val="5ECDCFBE"/>
    <w:rsid w:val="5EF8FD6F"/>
    <w:rsid w:val="5FEF50BE"/>
    <w:rsid w:val="600625B7"/>
    <w:rsid w:val="6068D1FA"/>
    <w:rsid w:val="60A5BE39"/>
    <w:rsid w:val="60BC9C95"/>
    <w:rsid w:val="60F76570"/>
    <w:rsid w:val="60F84C0F"/>
    <w:rsid w:val="611468FB"/>
    <w:rsid w:val="611D3CC6"/>
    <w:rsid w:val="6195FAFD"/>
    <w:rsid w:val="61D6C751"/>
    <w:rsid w:val="61D7B53D"/>
    <w:rsid w:val="62816D9F"/>
    <w:rsid w:val="6348342E"/>
    <w:rsid w:val="6371B89F"/>
    <w:rsid w:val="64017129"/>
    <w:rsid w:val="645D510F"/>
    <w:rsid w:val="646AAB7E"/>
    <w:rsid w:val="64ADF0C6"/>
    <w:rsid w:val="64C4819D"/>
    <w:rsid w:val="64D5CCFC"/>
    <w:rsid w:val="64DCA34B"/>
    <w:rsid w:val="64E45CD3"/>
    <w:rsid w:val="64E9C2C3"/>
    <w:rsid w:val="64EC8824"/>
    <w:rsid w:val="65404D3F"/>
    <w:rsid w:val="6551DA58"/>
    <w:rsid w:val="6556358E"/>
    <w:rsid w:val="65623CBD"/>
    <w:rsid w:val="65856D39"/>
    <w:rsid w:val="65DC0BA9"/>
    <w:rsid w:val="65DF50B9"/>
    <w:rsid w:val="65F895B0"/>
    <w:rsid w:val="65FA5702"/>
    <w:rsid w:val="66D158C0"/>
    <w:rsid w:val="66E40E8E"/>
    <w:rsid w:val="66F9CB09"/>
    <w:rsid w:val="67004D6C"/>
    <w:rsid w:val="675253BA"/>
    <w:rsid w:val="6771726C"/>
    <w:rsid w:val="6777BE66"/>
    <w:rsid w:val="67D646D0"/>
    <w:rsid w:val="67F49157"/>
    <w:rsid w:val="6803B8C3"/>
    <w:rsid w:val="68689A01"/>
    <w:rsid w:val="686D08E6"/>
    <w:rsid w:val="68885A57"/>
    <w:rsid w:val="68F71C3F"/>
    <w:rsid w:val="6932D917"/>
    <w:rsid w:val="694AA69A"/>
    <w:rsid w:val="695095D0"/>
    <w:rsid w:val="696ECCBA"/>
    <w:rsid w:val="69F0D3B0"/>
    <w:rsid w:val="6A05BF34"/>
    <w:rsid w:val="6A4C22EB"/>
    <w:rsid w:val="6A560C95"/>
    <w:rsid w:val="6A6D7C7B"/>
    <w:rsid w:val="6A9B26A9"/>
    <w:rsid w:val="6B202C40"/>
    <w:rsid w:val="6B9ECEB9"/>
    <w:rsid w:val="6C2061C2"/>
    <w:rsid w:val="6CB158EE"/>
    <w:rsid w:val="6CE7E345"/>
    <w:rsid w:val="6CF4E5FC"/>
    <w:rsid w:val="6D56D46B"/>
    <w:rsid w:val="6DA681C9"/>
    <w:rsid w:val="6E967371"/>
    <w:rsid w:val="6EA33935"/>
    <w:rsid w:val="6EA9ACC7"/>
    <w:rsid w:val="6EC2B58B"/>
    <w:rsid w:val="6F3B3CE4"/>
    <w:rsid w:val="6F404D4C"/>
    <w:rsid w:val="6FABE61D"/>
    <w:rsid w:val="6FEADB62"/>
    <w:rsid w:val="7006CC3C"/>
    <w:rsid w:val="7046CD5E"/>
    <w:rsid w:val="70B47C3F"/>
    <w:rsid w:val="70C92E64"/>
    <w:rsid w:val="70E1AD94"/>
    <w:rsid w:val="7114326C"/>
    <w:rsid w:val="71621854"/>
    <w:rsid w:val="719FBCC4"/>
    <w:rsid w:val="71DC51AE"/>
    <w:rsid w:val="71EAADE3"/>
    <w:rsid w:val="71EEF82B"/>
    <w:rsid w:val="72308DC1"/>
    <w:rsid w:val="724F0F06"/>
    <w:rsid w:val="72536D55"/>
    <w:rsid w:val="725B32EE"/>
    <w:rsid w:val="72BEDA09"/>
    <w:rsid w:val="73072D21"/>
    <w:rsid w:val="731B6FC2"/>
    <w:rsid w:val="7337B78F"/>
    <w:rsid w:val="7387C4C5"/>
    <w:rsid w:val="73FD2D21"/>
    <w:rsid w:val="7410F42D"/>
    <w:rsid w:val="743E7882"/>
    <w:rsid w:val="7465A130"/>
    <w:rsid w:val="74B10F84"/>
    <w:rsid w:val="753B0553"/>
    <w:rsid w:val="755831F5"/>
    <w:rsid w:val="755F09AC"/>
    <w:rsid w:val="75D5F68F"/>
    <w:rsid w:val="76204CA4"/>
    <w:rsid w:val="762CC27D"/>
    <w:rsid w:val="767DB57A"/>
    <w:rsid w:val="76A57C1F"/>
    <w:rsid w:val="76C1AEC2"/>
    <w:rsid w:val="7790EFDC"/>
    <w:rsid w:val="77B3B86C"/>
    <w:rsid w:val="77D1EA48"/>
    <w:rsid w:val="7843DE3C"/>
    <w:rsid w:val="78C42E62"/>
    <w:rsid w:val="78EEB534"/>
    <w:rsid w:val="7978E3F1"/>
    <w:rsid w:val="7983FAAE"/>
    <w:rsid w:val="7998895F"/>
    <w:rsid w:val="79CF5DE7"/>
    <w:rsid w:val="7A010E47"/>
    <w:rsid w:val="7A1409E0"/>
    <w:rsid w:val="7A58D401"/>
    <w:rsid w:val="7AE3F244"/>
    <w:rsid w:val="7B1D0D93"/>
    <w:rsid w:val="7B7A69B6"/>
    <w:rsid w:val="7B8A232E"/>
    <w:rsid w:val="7BA208AD"/>
    <w:rsid w:val="7BA88CB7"/>
    <w:rsid w:val="7C25E08D"/>
    <w:rsid w:val="7C933974"/>
    <w:rsid w:val="7CB77AA0"/>
    <w:rsid w:val="7CC2B759"/>
    <w:rsid w:val="7CF90C16"/>
    <w:rsid w:val="7D0EB7E4"/>
    <w:rsid w:val="7D4AD171"/>
    <w:rsid w:val="7D539C58"/>
    <w:rsid w:val="7D78334B"/>
    <w:rsid w:val="7DA21BBB"/>
    <w:rsid w:val="7DA755FA"/>
    <w:rsid w:val="7DBC60BC"/>
    <w:rsid w:val="7E8A892C"/>
    <w:rsid w:val="7EBA9DAE"/>
    <w:rsid w:val="7F07E57F"/>
    <w:rsid w:val="7F0969C5"/>
    <w:rsid w:val="7F224A94"/>
    <w:rsid w:val="7F3DF84E"/>
    <w:rsid w:val="7FC661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EB0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9E"/>
    <w:pPr>
      <w:spacing w:before="120" w:after="120" w:line="240" w:lineRule="auto"/>
    </w:pPr>
    <w:rPr>
      <w:kern w:val="16"/>
      <w:sz w:val="24"/>
      <w14:ligatures w14:val="none"/>
    </w:rPr>
  </w:style>
  <w:style w:type="paragraph" w:styleId="Heading1">
    <w:name w:val="heading 1"/>
    <w:basedOn w:val="Normal"/>
    <w:next w:val="Normal"/>
    <w:link w:val="Heading1Char"/>
    <w:uiPriority w:val="9"/>
    <w:qFormat/>
    <w:rsid w:val="00F230C9"/>
    <w:pPr>
      <w:keepNext/>
      <w:keepLines/>
      <w:spacing w:before="840"/>
      <w:contextualSpacing/>
      <w:outlineLvl w:val="0"/>
    </w:pPr>
    <w:rPr>
      <w:rFonts w:eastAsiaTheme="majorEastAsia" w:cstheme="majorBidi"/>
      <w:b/>
      <w:bCs/>
      <w:color w:val="FFFFFF" w:themeColor="background1"/>
      <w:sz w:val="76"/>
      <w:szCs w:val="32"/>
    </w:rPr>
  </w:style>
  <w:style w:type="paragraph" w:styleId="Heading2">
    <w:name w:val="heading 2"/>
    <w:basedOn w:val="Normal"/>
    <w:next w:val="Normal"/>
    <w:link w:val="Heading2Char"/>
    <w:uiPriority w:val="9"/>
    <w:unhideWhenUsed/>
    <w:qFormat/>
    <w:rsid w:val="00F230C9"/>
    <w:pPr>
      <w:keepNext/>
      <w:keepLines/>
      <w:spacing w:before="360" w:after="240"/>
      <w:outlineLvl w:val="1"/>
    </w:pPr>
    <w:rPr>
      <w:rFonts w:asciiTheme="majorHAnsi" w:eastAsiaTheme="majorEastAsia" w:hAnsiTheme="majorHAnsi" w:cstheme="majorBidi"/>
      <w:color w:val="00294E" w:themeColor="text2"/>
      <w:sz w:val="52"/>
      <w:szCs w:val="48"/>
    </w:rPr>
  </w:style>
  <w:style w:type="paragraph" w:styleId="Heading3">
    <w:name w:val="heading 3"/>
    <w:basedOn w:val="Normal"/>
    <w:next w:val="Normal"/>
    <w:link w:val="Heading3Char"/>
    <w:uiPriority w:val="9"/>
    <w:unhideWhenUsed/>
    <w:qFormat/>
    <w:rsid w:val="00F230C9"/>
    <w:pPr>
      <w:keepNext/>
      <w:keepLines/>
      <w:spacing w:before="360" w:after="240"/>
      <w:outlineLvl w:val="2"/>
    </w:pPr>
    <w:rPr>
      <w:rFonts w:asciiTheme="majorHAnsi" w:eastAsiaTheme="majorEastAsia" w:hAnsiTheme="majorHAnsi" w:cstheme="majorBidi"/>
      <w:color w:val="00294E" w:themeColor="text2"/>
      <w:sz w:val="40"/>
      <w:szCs w:val="40"/>
    </w:rPr>
  </w:style>
  <w:style w:type="paragraph" w:styleId="Heading4">
    <w:name w:val="heading 4"/>
    <w:basedOn w:val="Normal"/>
    <w:next w:val="Normal"/>
    <w:link w:val="Heading4Char"/>
    <w:uiPriority w:val="9"/>
    <w:unhideWhenUsed/>
    <w:qFormat/>
    <w:rsid w:val="00F230C9"/>
    <w:pPr>
      <w:keepNext/>
      <w:keepLines/>
      <w:spacing w:before="240"/>
      <w:outlineLvl w:val="3"/>
    </w:pPr>
    <w:rPr>
      <w:rFonts w:asciiTheme="majorHAnsi" w:eastAsiaTheme="majorEastAsia" w:hAnsiTheme="majorHAnsi" w:cstheme="majorBidi"/>
      <w:iCs/>
      <w:color w:val="00294E" w:themeColor="text2"/>
      <w:sz w:val="32"/>
      <w:szCs w:val="28"/>
    </w:rPr>
  </w:style>
  <w:style w:type="paragraph" w:styleId="Heading5">
    <w:name w:val="heading 5"/>
    <w:basedOn w:val="Normal"/>
    <w:next w:val="Normal"/>
    <w:link w:val="Heading5Char"/>
    <w:uiPriority w:val="9"/>
    <w:unhideWhenUsed/>
    <w:qFormat/>
    <w:rsid w:val="00F230C9"/>
    <w:pPr>
      <w:keepNext/>
      <w:keepLines/>
      <w:spacing w:before="240"/>
      <w:outlineLvl w:val="4"/>
    </w:pPr>
    <w:rPr>
      <w:rFonts w:asciiTheme="majorHAnsi" w:eastAsiaTheme="majorEastAsia" w:hAnsiTheme="majorHAnsi" w:cstheme="majorBidi"/>
      <w:color w:val="00294E" w:themeColor="text2"/>
      <w:sz w:val="28"/>
      <w:szCs w:val="26"/>
    </w:rPr>
  </w:style>
  <w:style w:type="paragraph" w:styleId="Heading6">
    <w:name w:val="heading 6"/>
    <w:basedOn w:val="Normal"/>
    <w:next w:val="Normal"/>
    <w:link w:val="Heading6Char"/>
    <w:uiPriority w:val="9"/>
    <w:unhideWhenUsed/>
    <w:qFormat/>
    <w:rsid w:val="00F230C9"/>
    <w:pPr>
      <w:keepNext/>
      <w:keepLines/>
      <w:spacing w:before="240"/>
      <w:outlineLvl w:val="5"/>
    </w:pPr>
    <w:rPr>
      <w:rFonts w:asciiTheme="majorHAnsi" w:eastAsiaTheme="majorEastAsia" w:hAnsiTheme="majorHAnsi" w:cstheme="majorBidi"/>
      <w:color w:val="00294E" w:themeColor="text2"/>
    </w:rPr>
  </w:style>
  <w:style w:type="paragraph" w:styleId="Heading7">
    <w:name w:val="heading 7"/>
    <w:basedOn w:val="Normal"/>
    <w:next w:val="Normal"/>
    <w:link w:val="Heading7Char"/>
    <w:uiPriority w:val="9"/>
    <w:unhideWhenUsed/>
    <w:qFormat/>
    <w:rsid w:val="00F230C9"/>
    <w:pPr>
      <w:keepNext/>
      <w:keepLines/>
      <w:spacing w:before="240"/>
      <w:outlineLvl w:val="6"/>
    </w:pPr>
    <w:rPr>
      <w:rFonts w:asciiTheme="majorHAnsi" w:eastAsiaTheme="majorEastAsia" w:hAnsiTheme="majorHAnsi" w:cstheme="majorBidi"/>
      <w:b/>
      <w:iCs/>
      <w:color w:val="00294E" w:themeColor="text2"/>
      <w:sz w:val="22"/>
    </w:rPr>
  </w:style>
  <w:style w:type="paragraph" w:styleId="Heading8">
    <w:name w:val="heading 8"/>
    <w:basedOn w:val="Normal"/>
    <w:next w:val="Normal"/>
    <w:link w:val="Heading8Char"/>
    <w:uiPriority w:val="9"/>
    <w:unhideWhenUsed/>
    <w:qFormat/>
    <w:rsid w:val="00F230C9"/>
    <w:pPr>
      <w:keepNext/>
      <w:keepLines/>
      <w:spacing w:before="2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820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0C9"/>
    <w:rPr>
      <w:rFonts w:eastAsiaTheme="majorEastAsia" w:cstheme="majorBidi"/>
      <w:b/>
      <w:bCs/>
      <w:color w:val="FFFFFF" w:themeColor="background1"/>
      <w:kern w:val="16"/>
      <w:sz w:val="76"/>
      <w:szCs w:val="32"/>
      <w14:ligatures w14:val="none"/>
    </w:rPr>
  </w:style>
  <w:style w:type="character" w:customStyle="1" w:styleId="Heading2Char">
    <w:name w:val="Heading 2 Char"/>
    <w:basedOn w:val="DefaultParagraphFont"/>
    <w:link w:val="Heading2"/>
    <w:uiPriority w:val="9"/>
    <w:rsid w:val="00F230C9"/>
    <w:rPr>
      <w:rFonts w:asciiTheme="majorHAnsi" w:eastAsiaTheme="majorEastAsia" w:hAnsiTheme="majorHAnsi" w:cstheme="majorBidi"/>
      <w:color w:val="00294E" w:themeColor="text2"/>
      <w:kern w:val="16"/>
      <w:sz w:val="52"/>
      <w:szCs w:val="48"/>
      <w14:ligatures w14:val="none"/>
    </w:rPr>
  </w:style>
  <w:style w:type="character" w:customStyle="1" w:styleId="Heading3Char">
    <w:name w:val="Heading 3 Char"/>
    <w:basedOn w:val="DefaultParagraphFont"/>
    <w:link w:val="Heading3"/>
    <w:uiPriority w:val="9"/>
    <w:rsid w:val="00F230C9"/>
    <w:rPr>
      <w:rFonts w:asciiTheme="majorHAnsi" w:eastAsiaTheme="majorEastAsia" w:hAnsiTheme="majorHAnsi" w:cstheme="majorBidi"/>
      <w:color w:val="00294E" w:themeColor="text2"/>
      <w:kern w:val="16"/>
      <w:sz w:val="40"/>
      <w:szCs w:val="40"/>
      <w14:ligatures w14:val="none"/>
    </w:rPr>
  </w:style>
  <w:style w:type="character" w:customStyle="1" w:styleId="Heading4Char">
    <w:name w:val="Heading 4 Char"/>
    <w:basedOn w:val="DefaultParagraphFont"/>
    <w:link w:val="Heading4"/>
    <w:uiPriority w:val="9"/>
    <w:rsid w:val="00F230C9"/>
    <w:rPr>
      <w:rFonts w:asciiTheme="majorHAnsi" w:eastAsiaTheme="majorEastAsia" w:hAnsiTheme="majorHAnsi" w:cstheme="majorBidi"/>
      <w:iCs/>
      <w:color w:val="00294E" w:themeColor="text2"/>
      <w:kern w:val="16"/>
      <w:sz w:val="32"/>
      <w:szCs w:val="28"/>
      <w14:ligatures w14:val="none"/>
    </w:rPr>
  </w:style>
  <w:style w:type="character" w:customStyle="1" w:styleId="Heading5Char">
    <w:name w:val="Heading 5 Char"/>
    <w:basedOn w:val="DefaultParagraphFont"/>
    <w:link w:val="Heading5"/>
    <w:uiPriority w:val="9"/>
    <w:rsid w:val="00F230C9"/>
    <w:rPr>
      <w:rFonts w:asciiTheme="majorHAnsi" w:eastAsiaTheme="majorEastAsia" w:hAnsiTheme="majorHAnsi" w:cstheme="majorBidi"/>
      <w:color w:val="00294E" w:themeColor="text2"/>
      <w:kern w:val="16"/>
      <w:sz w:val="28"/>
      <w:szCs w:val="26"/>
      <w14:ligatures w14:val="none"/>
    </w:rPr>
  </w:style>
  <w:style w:type="character" w:customStyle="1" w:styleId="Heading6Char">
    <w:name w:val="Heading 6 Char"/>
    <w:basedOn w:val="DefaultParagraphFont"/>
    <w:link w:val="Heading6"/>
    <w:uiPriority w:val="9"/>
    <w:rsid w:val="00F230C9"/>
    <w:rPr>
      <w:rFonts w:asciiTheme="majorHAnsi" w:eastAsiaTheme="majorEastAsia" w:hAnsiTheme="majorHAnsi" w:cstheme="majorBidi"/>
      <w:color w:val="00294E" w:themeColor="text2"/>
      <w:kern w:val="16"/>
      <w:sz w:val="24"/>
      <w14:ligatures w14:val="none"/>
    </w:rPr>
  </w:style>
  <w:style w:type="character" w:customStyle="1" w:styleId="Heading7Char">
    <w:name w:val="Heading 7 Char"/>
    <w:basedOn w:val="DefaultParagraphFont"/>
    <w:link w:val="Heading7"/>
    <w:uiPriority w:val="9"/>
    <w:rsid w:val="00F230C9"/>
    <w:rPr>
      <w:rFonts w:asciiTheme="majorHAnsi" w:eastAsiaTheme="majorEastAsia" w:hAnsiTheme="majorHAnsi" w:cstheme="majorBidi"/>
      <w:b/>
      <w:iCs/>
      <w:color w:val="00294E" w:themeColor="text2"/>
      <w:kern w:val="16"/>
      <w14:ligatures w14:val="none"/>
    </w:rPr>
  </w:style>
  <w:style w:type="character" w:customStyle="1" w:styleId="Heading8Char">
    <w:name w:val="Heading 8 Char"/>
    <w:basedOn w:val="DefaultParagraphFont"/>
    <w:link w:val="Heading8"/>
    <w:uiPriority w:val="9"/>
    <w:rsid w:val="00F230C9"/>
    <w:rPr>
      <w:rFonts w:asciiTheme="majorHAnsi" w:eastAsiaTheme="majorEastAsia" w:hAnsiTheme="majorHAnsi" w:cstheme="majorBidi"/>
      <w:color w:val="272727" w:themeColor="text1" w:themeTint="D8"/>
      <w:kern w:val="16"/>
      <w:sz w:val="24"/>
      <w:szCs w:val="21"/>
      <w14:ligatures w14:val="none"/>
    </w:rPr>
  </w:style>
  <w:style w:type="character" w:customStyle="1" w:styleId="Heading9Char">
    <w:name w:val="Heading 9 Char"/>
    <w:basedOn w:val="DefaultParagraphFont"/>
    <w:link w:val="Heading9"/>
    <w:uiPriority w:val="9"/>
    <w:rsid w:val="00820A4C"/>
    <w:rPr>
      <w:rFonts w:eastAsiaTheme="majorEastAsia" w:cstheme="majorBidi"/>
      <w:color w:val="272727" w:themeColor="text1" w:themeTint="D8"/>
    </w:rPr>
  </w:style>
  <w:style w:type="paragraph" w:styleId="Title">
    <w:name w:val="Title"/>
    <w:basedOn w:val="Normal"/>
    <w:next w:val="Normal"/>
    <w:link w:val="TitleChar"/>
    <w:uiPriority w:val="10"/>
    <w:qFormat/>
    <w:rsid w:val="00F230C9"/>
    <w:pPr>
      <w:contextualSpacing/>
      <w:outlineLvl w:val="0"/>
    </w:pPr>
    <w:rPr>
      <w:rFonts w:asciiTheme="majorHAnsi" w:eastAsiaTheme="majorEastAsia" w:hAnsiTheme="majorHAnsi" w:cstheme="majorBidi"/>
      <w:color w:val="00294E" w:themeColor="text2"/>
      <w:spacing w:val="-10"/>
      <w:kern w:val="28"/>
      <w:sz w:val="72"/>
      <w:szCs w:val="72"/>
    </w:rPr>
  </w:style>
  <w:style w:type="character" w:customStyle="1" w:styleId="TitleChar">
    <w:name w:val="Title Char"/>
    <w:basedOn w:val="DefaultParagraphFont"/>
    <w:link w:val="Title"/>
    <w:uiPriority w:val="10"/>
    <w:rsid w:val="00F230C9"/>
    <w:rPr>
      <w:rFonts w:asciiTheme="majorHAnsi" w:eastAsiaTheme="majorEastAsia" w:hAnsiTheme="majorHAnsi" w:cstheme="majorBidi"/>
      <w:color w:val="00294E" w:themeColor="text2"/>
      <w:spacing w:val="-10"/>
      <w:kern w:val="28"/>
      <w:sz w:val="72"/>
      <w:szCs w:val="72"/>
      <w14:ligatures w14:val="none"/>
    </w:rPr>
  </w:style>
  <w:style w:type="paragraph" w:styleId="Subtitle">
    <w:name w:val="Subtitle"/>
    <w:basedOn w:val="Normal"/>
    <w:next w:val="Normal"/>
    <w:link w:val="SubtitleChar"/>
    <w:uiPriority w:val="11"/>
    <w:qFormat/>
    <w:rsid w:val="00F230C9"/>
    <w:pPr>
      <w:numPr>
        <w:ilvl w:val="1"/>
      </w:numPr>
      <w:spacing w:before="360" w:after="360"/>
    </w:pPr>
    <w:rPr>
      <w:rFonts w:eastAsiaTheme="minorEastAsia"/>
      <w:color w:val="95C423" w:themeColor="accent2"/>
      <w:sz w:val="60"/>
    </w:rPr>
  </w:style>
  <w:style w:type="character" w:customStyle="1" w:styleId="SubtitleChar">
    <w:name w:val="Subtitle Char"/>
    <w:basedOn w:val="DefaultParagraphFont"/>
    <w:link w:val="Subtitle"/>
    <w:uiPriority w:val="11"/>
    <w:rsid w:val="00F230C9"/>
    <w:rPr>
      <w:rFonts w:eastAsiaTheme="minorEastAsia"/>
      <w:color w:val="95C423" w:themeColor="accent2"/>
      <w:kern w:val="16"/>
      <w:sz w:val="60"/>
      <w14:ligatures w14:val="none"/>
    </w:rPr>
  </w:style>
  <w:style w:type="paragraph" w:styleId="Quote">
    <w:name w:val="Quote"/>
    <w:basedOn w:val="Normal"/>
    <w:next w:val="Normal"/>
    <w:link w:val="QuoteChar"/>
    <w:uiPriority w:val="29"/>
    <w:qFormat/>
    <w:rsid w:val="00F230C9"/>
    <w:pPr>
      <w:pBdr>
        <w:top w:val="single" w:sz="4" w:space="6" w:color="95C423" w:themeColor="accent2"/>
        <w:bottom w:val="single" w:sz="4" w:space="6" w:color="95C423" w:themeColor="accent2"/>
      </w:pBdr>
      <w:spacing w:before="240" w:after="240"/>
      <w:ind w:right="1701"/>
    </w:pPr>
    <w:rPr>
      <w:iCs/>
      <w:color w:val="00294E" w:themeColor="text2"/>
      <w:szCs w:val="24"/>
    </w:rPr>
  </w:style>
  <w:style w:type="character" w:customStyle="1" w:styleId="QuoteChar">
    <w:name w:val="Quote Char"/>
    <w:basedOn w:val="DefaultParagraphFont"/>
    <w:link w:val="Quote"/>
    <w:uiPriority w:val="29"/>
    <w:rsid w:val="00F230C9"/>
    <w:rPr>
      <w:iCs/>
      <w:color w:val="00294E" w:themeColor="text2"/>
      <w:kern w:val="16"/>
      <w:sz w:val="24"/>
      <w:szCs w:val="24"/>
      <w14:ligatures w14:val="none"/>
    </w:rPr>
  </w:style>
  <w:style w:type="paragraph" w:styleId="ListParagraph">
    <w:name w:val="List Paragraph"/>
    <w:basedOn w:val="Normal"/>
    <w:uiPriority w:val="34"/>
    <w:qFormat/>
    <w:rsid w:val="00F230C9"/>
    <w:pPr>
      <w:numPr>
        <w:numId w:val="30"/>
      </w:numPr>
      <w:spacing w:before="0"/>
    </w:pPr>
  </w:style>
  <w:style w:type="character" w:styleId="IntenseEmphasis">
    <w:name w:val="Intense Emphasis"/>
    <w:basedOn w:val="DefaultParagraphFont"/>
    <w:uiPriority w:val="21"/>
    <w:qFormat/>
    <w:rsid w:val="00F230C9"/>
    <w:rPr>
      <w:i/>
      <w:iCs/>
      <w:color w:val="00294E" w:themeColor="text2"/>
    </w:rPr>
  </w:style>
  <w:style w:type="paragraph" w:styleId="IntenseQuote">
    <w:name w:val="Intense Quote"/>
    <w:basedOn w:val="Normal"/>
    <w:next w:val="Normal"/>
    <w:link w:val="IntenseQuoteChar"/>
    <w:uiPriority w:val="30"/>
    <w:qFormat/>
    <w:rsid w:val="00F230C9"/>
    <w:pPr>
      <w:pBdr>
        <w:top w:val="single" w:sz="4" w:space="6" w:color="95C423" w:themeColor="accent2"/>
        <w:bottom w:val="single" w:sz="4" w:space="6" w:color="95C423" w:themeColor="accent2"/>
      </w:pBdr>
      <w:spacing w:before="360" w:after="360"/>
      <w:ind w:right="1701"/>
    </w:pPr>
    <w:rPr>
      <w:iCs/>
      <w:color w:val="00294E" w:themeColor="text2"/>
      <w:sz w:val="28"/>
    </w:rPr>
  </w:style>
  <w:style w:type="character" w:customStyle="1" w:styleId="IntenseQuoteChar">
    <w:name w:val="Intense Quote Char"/>
    <w:basedOn w:val="DefaultParagraphFont"/>
    <w:link w:val="IntenseQuote"/>
    <w:uiPriority w:val="30"/>
    <w:rsid w:val="00F230C9"/>
    <w:rPr>
      <w:iCs/>
      <w:color w:val="00294E" w:themeColor="text2"/>
      <w:kern w:val="16"/>
      <w:sz w:val="28"/>
      <w14:ligatures w14:val="none"/>
    </w:rPr>
  </w:style>
  <w:style w:type="character" w:styleId="IntenseReference">
    <w:name w:val="Intense Reference"/>
    <w:basedOn w:val="DefaultParagraphFont"/>
    <w:uiPriority w:val="32"/>
    <w:qFormat/>
    <w:rsid w:val="00F230C9"/>
    <w:rPr>
      <w:b/>
      <w:bCs/>
      <w:smallCaps/>
      <w:color w:val="00294E" w:themeColor="text2"/>
      <w:spacing w:val="5"/>
    </w:rPr>
  </w:style>
  <w:style w:type="paragraph" w:styleId="Header">
    <w:name w:val="header"/>
    <w:basedOn w:val="Normal"/>
    <w:link w:val="HeaderChar"/>
    <w:uiPriority w:val="99"/>
    <w:unhideWhenUsed/>
    <w:rsid w:val="00F230C9"/>
    <w:pPr>
      <w:tabs>
        <w:tab w:val="center" w:pos="4513"/>
        <w:tab w:val="right" w:pos="9026"/>
      </w:tabs>
      <w:spacing w:after="0"/>
    </w:pPr>
    <w:rPr>
      <w:sz w:val="20"/>
    </w:rPr>
  </w:style>
  <w:style w:type="character" w:customStyle="1" w:styleId="HeaderChar">
    <w:name w:val="Header Char"/>
    <w:basedOn w:val="DefaultParagraphFont"/>
    <w:link w:val="Header"/>
    <w:uiPriority w:val="99"/>
    <w:rsid w:val="00F230C9"/>
    <w:rPr>
      <w:kern w:val="16"/>
      <w:sz w:val="20"/>
      <w14:ligatures w14:val="none"/>
    </w:rPr>
  </w:style>
  <w:style w:type="paragraph" w:styleId="Footer">
    <w:name w:val="footer"/>
    <w:basedOn w:val="Normal"/>
    <w:link w:val="FooterChar"/>
    <w:uiPriority w:val="99"/>
    <w:unhideWhenUsed/>
    <w:rsid w:val="00F230C9"/>
    <w:pPr>
      <w:tabs>
        <w:tab w:val="center" w:pos="4513"/>
        <w:tab w:val="right" w:pos="9026"/>
      </w:tabs>
      <w:spacing w:after="0"/>
    </w:pPr>
    <w:rPr>
      <w:color w:val="00294E" w:themeColor="text2"/>
      <w:sz w:val="20"/>
    </w:rPr>
  </w:style>
  <w:style w:type="character" w:customStyle="1" w:styleId="FooterChar">
    <w:name w:val="Footer Char"/>
    <w:basedOn w:val="DefaultParagraphFont"/>
    <w:link w:val="Footer"/>
    <w:uiPriority w:val="99"/>
    <w:rsid w:val="00F230C9"/>
    <w:rPr>
      <w:color w:val="00294E" w:themeColor="text2"/>
      <w:kern w:val="16"/>
      <w:sz w:val="20"/>
      <w14:ligatures w14:val="none"/>
    </w:rPr>
  </w:style>
  <w:style w:type="paragraph" w:customStyle="1" w:styleId="Prelims">
    <w:name w:val="Prelims"/>
    <w:basedOn w:val="Normal"/>
    <w:qFormat/>
    <w:rsid w:val="00F230C9"/>
    <w:rPr>
      <w:spacing w:val="-1"/>
      <w:kern w:val="20"/>
      <w:sz w:val="20"/>
      <w:szCs w:val="18"/>
    </w:rPr>
  </w:style>
  <w:style w:type="paragraph" w:customStyle="1" w:styleId="NoteSource">
    <w:name w:val="Note / Source"/>
    <w:basedOn w:val="Normal"/>
    <w:qFormat/>
    <w:rsid w:val="00F230C9"/>
    <w:pPr>
      <w:spacing w:after="240"/>
      <w:contextualSpacing/>
    </w:pPr>
    <w:rPr>
      <w:sz w:val="20"/>
      <w:szCs w:val="18"/>
    </w:rPr>
  </w:style>
  <w:style w:type="paragraph" w:customStyle="1" w:styleId="Heading2Numbered">
    <w:name w:val="Heading 2 Numbered"/>
    <w:basedOn w:val="Heading2"/>
    <w:qFormat/>
    <w:rsid w:val="00F230C9"/>
    <w:pPr>
      <w:numPr>
        <w:numId w:val="42"/>
      </w:numPr>
    </w:pPr>
  </w:style>
  <w:style w:type="table" w:styleId="TableGrid">
    <w:name w:val="Table Grid"/>
    <w:aliases w:val="DISR plain Table 1"/>
    <w:basedOn w:val="TableNormal"/>
    <w:uiPriority w:val="39"/>
    <w:rsid w:val="00F230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character" w:styleId="Strong">
    <w:name w:val="Strong"/>
    <w:basedOn w:val="DefaultParagraphFont"/>
    <w:uiPriority w:val="22"/>
    <w:qFormat/>
    <w:rsid w:val="00F230C9"/>
    <w:rPr>
      <w:b/>
      <w:bCs/>
    </w:rPr>
  </w:style>
  <w:style w:type="table" w:styleId="PlainTable4">
    <w:name w:val="Plain Table 4"/>
    <w:basedOn w:val="TableNormal"/>
    <w:uiPriority w:val="44"/>
    <w:rsid w:val="003838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230C9"/>
    <w:pPr>
      <w:spacing w:after="0" w:line="240" w:lineRule="auto"/>
    </w:pPr>
    <w:rPr>
      <w:kern w:val="0"/>
      <w:sz w:val="20"/>
      <w14:ligatures w14:val="none"/>
    </w:rPr>
  </w:style>
  <w:style w:type="character" w:styleId="Hyperlink">
    <w:name w:val="Hyperlink"/>
    <w:basedOn w:val="DefaultParagraphFont"/>
    <w:uiPriority w:val="99"/>
    <w:unhideWhenUsed/>
    <w:rsid w:val="00F230C9"/>
    <w:rPr>
      <w:color w:val="377C0B" w:themeColor="accent1"/>
      <w:u w:val="single"/>
    </w:rPr>
  </w:style>
  <w:style w:type="character" w:styleId="UnresolvedMention">
    <w:name w:val="Unresolved Mention"/>
    <w:basedOn w:val="DefaultParagraphFont"/>
    <w:uiPriority w:val="99"/>
    <w:semiHidden/>
    <w:unhideWhenUsed/>
    <w:rsid w:val="00F230C9"/>
    <w:rPr>
      <w:color w:val="605E5C"/>
      <w:shd w:val="clear" w:color="auto" w:fill="E1DFDD"/>
    </w:rPr>
  </w:style>
  <w:style w:type="character" w:styleId="SubtleEmphasis">
    <w:name w:val="Subtle Emphasis"/>
    <w:basedOn w:val="DefaultParagraphFont"/>
    <w:uiPriority w:val="19"/>
    <w:qFormat/>
    <w:rsid w:val="00425B1D"/>
    <w:rPr>
      <w:i/>
      <w:iCs/>
      <w:color w:val="404040" w:themeColor="text1" w:themeTint="BF"/>
    </w:rPr>
  </w:style>
  <w:style w:type="paragraph" w:customStyle="1" w:styleId="URL">
    <w:name w:val="URL"/>
    <w:basedOn w:val="Normal"/>
    <w:qFormat/>
    <w:rsid w:val="00F230C9"/>
    <w:pPr>
      <w:spacing w:before="0" w:after="160" w:line="259" w:lineRule="auto"/>
    </w:pPr>
    <w:rPr>
      <w:color w:val="FFFFFF" w:themeColor="background1"/>
      <w:kern w:val="2"/>
      <w:sz w:val="30"/>
      <w14:ligatures w14:val="standardContextual"/>
    </w:rPr>
  </w:style>
  <w:style w:type="paragraph" w:styleId="FootnoteText">
    <w:name w:val="footnote text"/>
    <w:basedOn w:val="Normal"/>
    <w:link w:val="FootnoteTextChar"/>
    <w:uiPriority w:val="99"/>
    <w:semiHidden/>
    <w:unhideWhenUsed/>
    <w:rsid w:val="00F230C9"/>
    <w:pPr>
      <w:spacing w:after="0"/>
    </w:pPr>
    <w:rPr>
      <w:sz w:val="20"/>
      <w:szCs w:val="20"/>
    </w:rPr>
  </w:style>
  <w:style w:type="character" w:customStyle="1" w:styleId="FootnoteTextChar">
    <w:name w:val="Footnote Text Char"/>
    <w:basedOn w:val="DefaultParagraphFont"/>
    <w:link w:val="FootnoteText"/>
    <w:uiPriority w:val="99"/>
    <w:semiHidden/>
    <w:rsid w:val="00F230C9"/>
    <w:rPr>
      <w:kern w:val="16"/>
      <w:sz w:val="20"/>
      <w:szCs w:val="20"/>
      <w14:ligatures w14:val="none"/>
    </w:rPr>
  </w:style>
  <w:style w:type="character" w:styleId="FootnoteReference">
    <w:name w:val="footnote reference"/>
    <w:basedOn w:val="DefaultParagraphFont"/>
    <w:uiPriority w:val="99"/>
    <w:semiHidden/>
    <w:unhideWhenUsed/>
    <w:rsid w:val="00424334"/>
    <w:rPr>
      <w:vertAlign w:val="superscript"/>
    </w:rPr>
  </w:style>
  <w:style w:type="paragraph" w:styleId="TOCHeading">
    <w:name w:val="TOC Heading"/>
    <w:basedOn w:val="Heading2"/>
    <w:next w:val="Normal"/>
    <w:uiPriority w:val="39"/>
    <w:unhideWhenUsed/>
    <w:qFormat/>
    <w:rsid w:val="00F230C9"/>
    <w:pPr>
      <w:spacing w:after="480"/>
      <w:outlineLvl w:val="9"/>
    </w:pPr>
    <w:rPr>
      <w:lang w:val="en-US"/>
    </w:rPr>
  </w:style>
  <w:style w:type="paragraph" w:styleId="TOC1">
    <w:name w:val="toc 1"/>
    <w:basedOn w:val="Normal"/>
    <w:next w:val="Normal"/>
    <w:autoRedefine/>
    <w:uiPriority w:val="39"/>
    <w:unhideWhenUsed/>
    <w:rsid w:val="00F230C9"/>
    <w:pPr>
      <w:tabs>
        <w:tab w:val="right" w:leader="dot" w:pos="9016"/>
      </w:tabs>
      <w:spacing w:after="100"/>
    </w:pPr>
  </w:style>
  <w:style w:type="paragraph" w:styleId="TOC2">
    <w:name w:val="toc 2"/>
    <w:basedOn w:val="Normal"/>
    <w:next w:val="Normal"/>
    <w:autoRedefine/>
    <w:uiPriority w:val="39"/>
    <w:unhideWhenUsed/>
    <w:rsid w:val="00F230C9"/>
    <w:pPr>
      <w:tabs>
        <w:tab w:val="right" w:leader="dot" w:pos="9016"/>
      </w:tabs>
      <w:spacing w:before="180"/>
      <w:ind w:left="284" w:hanging="284"/>
    </w:pPr>
    <w:rPr>
      <w:rFonts w:asciiTheme="majorHAnsi" w:hAnsiTheme="majorHAnsi"/>
      <w:noProof/>
      <w:color w:val="00294E" w:themeColor="text2"/>
    </w:rPr>
  </w:style>
  <w:style w:type="paragraph" w:styleId="TOC3">
    <w:name w:val="toc 3"/>
    <w:basedOn w:val="Normal"/>
    <w:next w:val="Normal"/>
    <w:autoRedefine/>
    <w:uiPriority w:val="39"/>
    <w:unhideWhenUsed/>
    <w:rsid w:val="00F230C9"/>
    <w:pPr>
      <w:tabs>
        <w:tab w:val="right" w:leader="dot" w:pos="9015"/>
      </w:tabs>
      <w:ind w:left="851" w:hanging="567"/>
    </w:pPr>
    <w:rPr>
      <w:noProof/>
    </w:rPr>
  </w:style>
  <w:style w:type="paragraph" w:styleId="CommentText">
    <w:name w:val="annotation text"/>
    <w:basedOn w:val="Normal"/>
    <w:link w:val="CommentTextChar"/>
    <w:uiPriority w:val="99"/>
    <w:unhideWhenUsed/>
    <w:rsid w:val="00F230C9"/>
    <w:rPr>
      <w:szCs w:val="20"/>
    </w:rPr>
  </w:style>
  <w:style w:type="character" w:customStyle="1" w:styleId="CommentTextChar">
    <w:name w:val="Comment Text Char"/>
    <w:basedOn w:val="DefaultParagraphFont"/>
    <w:link w:val="CommentText"/>
    <w:uiPriority w:val="99"/>
    <w:rsid w:val="00F230C9"/>
    <w:rPr>
      <w:kern w:val="16"/>
      <w:sz w:val="24"/>
      <w:szCs w:val="20"/>
      <w14:ligatures w14:val="none"/>
    </w:rPr>
  </w:style>
  <w:style w:type="character" w:styleId="CommentReference">
    <w:name w:val="annotation reference"/>
    <w:basedOn w:val="DefaultParagraphFont"/>
    <w:uiPriority w:val="99"/>
    <w:semiHidden/>
    <w:unhideWhenUsed/>
    <w:rsid w:val="00F230C9"/>
    <w:rPr>
      <w:sz w:val="16"/>
      <w:szCs w:val="16"/>
    </w:rPr>
  </w:style>
  <w:style w:type="paragraph" w:customStyle="1" w:styleId="Address">
    <w:name w:val="Address"/>
    <w:basedOn w:val="Subtitle"/>
    <w:qFormat/>
    <w:rsid w:val="00F230C9"/>
    <w:pPr>
      <w:spacing w:after="0"/>
    </w:pPr>
    <w:rPr>
      <w:sz w:val="24"/>
    </w:rPr>
  </w:style>
  <w:style w:type="paragraph" w:customStyle="1" w:styleId="Authoranddate">
    <w:name w:val="Author and date"/>
    <w:basedOn w:val="Subtitle"/>
    <w:link w:val="AuthoranddateChar"/>
    <w:qFormat/>
    <w:rsid w:val="00F230C9"/>
    <w:rPr>
      <w:szCs w:val="40"/>
    </w:rPr>
  </w:style>
  <w:style w:type="character" w:customStyle="1" w:styleId="AuthoranddateChar">
    <w:name w:val="Author and date Char"/>
    <w:basedOn w:val="SubtitleChar"/>
    <w:link w:val="Authoranddate"/>
    <w:rsid w:val="00F230C9"/>
    <w:rPr>
      <w:rFonts w:eastAsiaTheme="minorEastAsia"/>
      <w:color w:val="95C423" w:themeColor="accent2"/>
      <w:kern w:val="16"/>
      <w:sz w:val="60"/>
      <w:szCs w:val="40"/>
      <w14:ligatures w14:val="none"/>
    </w:rPr>
  </w:style>
  <w:style w:type="paragraph" w:styleId="BalloonText">
    <w:name w:val="Balloon Text"/>
    <w:basedOn w:val="Normal"/>
    <w:link w:val="BalloonTextChar"/>
    <w:uiPriority w:val="99"/>
    <w:semiHidden/>
    <w:unhideWhenUsed/>
    <w:rsid w:val="00F230C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C9"/>
    <w:rPr>
      <w:rFonts w:ascii="Segoe UI" w:hAnsi="Segoe UI" w:cs="Segoe UI"/>
      <w:kern w:val="16"/>
      <w:sz w:val="18"/>
      <w:szCs w:val="18"/>
      <w14:ligatures w14:val="none"/>
    </w:rPr>
  </w:style>
  <w:style w:type="paragraph" w:customStyle="1" w:styleId="Calloutbox">
    <w:name w:val="Call out box"/>
    <w:basedOn w:val="Normal"/>
    <w:qFormat/>
    <w:rsid w:val="00F230C9"/>
    <w:pPr>
      <w:keepLines/>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paragraph" w:styleId="Caption">
    <w:name w:val="caption"/>
    <w:basedOn w:val="Normal"/>
    <w:next w:val="Normal"/>
    <w:uiPriority w:val="35"/>
    <w:unhideWhenUsed/>
    <w:qFormat/>
    <w:rsid w:val="00F230C9"/>
    <w:pPr>
      <w:keepNext/>
      <w:spacing w:before="240"/>
    </w:pPr>
    <w:rPr>
      <w:b/>
      <w:iCs/>
      <w:szCs w:val="18"/>
    </w:rPr>
  </w:style>
  <w:style w:type="paragraph" w:styleId="CommentSubject">
    <w:name w:val="annotation subject"/>
    <w:basedOn w:val="CommentText"/>
    <w:next w:val="CommentText"/>
    <w:link w:val="CommentSubjectChar"/>
    <w:uiPriority w:val="99"/>
    <w:semiHidden/>
    <w:unhideWhenUsed/>
    <w:rsid w:val="00F230C9"/>
    <w:rPr>
      <w:b/>
      <w:bCs/>
    </w:rPr>
  </w:style>
  <w:style w:type="character" w:customStyle="1" w:styleId="CommentSubjectChar">
    <w:name w:val="Comment Subject Char"/>
    <w:basedOn w:val="CommentTextChar"/>
    <w:link w:val="CommentSubject"/>
    <w:uiPriority w:val="99"/>
    <w:semiHidden/>
    <w:rsid w:val="00F230C9"/>
    <w:rPr>
      <w:b/>
      <w:bCs/>
      <w:kern w:val="16"/>
      <w:sz w:val="24"/>
      <w:szCs w:val="20"/>
      <w14:ligatures w14:val="none"/>
    </w:rPr>
  </w:style>
  <w:style w:type="character" w:styleId="Emphasis">
    <w:name w:val="Emphasis"/>
    <w:basedOn w:val="DefaultParagraphFont"/>
    <w:uiPriority w:val="20"/>
    <w:qFormat/>
    <w:rsid w:val="00F230C9"/>
    <w:rPr>
      <w:i/>
      <w:iCs/>
    </w:rPr>
  </w:style>
  <w:style w:type="character" w:styleId="FollowedHyperlink">
    <w:name w:val="FollowedHyperlink"/>
    <w:basedOn w:val="DefaultParagraphFont"/>
    <w:uiPriority w:val="99"/>
    <w:semiHidden/>
    <w:unhideWhenUsed/>
    <w:rsid w:val="0014149E"/>
    <w:rPr>
      <w:color w:val="377C0B" w:themeColor="accent1"/>
      <w:u w:val="single"/>
    </w:rPr>
  </w:style>
  <w:style w:type="table" w:styleId="GridTable1Light">
    <w:name w:val="Grid Table 1 Light"/>
    <w:basedOn w:val="TableNormal"/>
    <w:uiPriority w:val="46"/>
    <w:rsid w:val="00F230C9"/>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230C9"/>
    <w:pPr>
      <w:spacing w:after="0" w:line="240" w:lineRule="auto"/>
    </w:pPr>
    <w:rPr>
      <w:kern w:val="0"/>
      <w14:ligatures w14:val="none"/>
    </w:rPr>
    <w:tblPr>
      <w:tblStyleRowBandSize w:val="1"/>
      <w:tblStyleColBandSize w:val="1"/>
      <w:tblBorders>
        <w:top w:val="single" w:sz="4" w:space="0" w:color="D7EEA0" w:themeColor="accent2" w:themeTint="66"/>
        <w:left w:val="single" w:sz="4" w:space="0" w:color="D7EEA0" w:themeColor="accent2" w:themeTint="66"/>
        <w:bottom w:val="single" w:sz="4" w:space="0" w:color="D7EEA0" w:themeColor="accent2" w:themeTint="66"/>
        <w:right w:val="single" w:sz="4" w:space="0" w:color="D7EEA0" w:themeColor="accent2" w:themeTint="66"/>
        <w:insideH w:val="single" w:sz="4" w:space="0" w:color="D7EEA0" w:themeColor="accent2" w:themeTint="66"/>
        <w:insideV w:val="single" w:sz="4" w:space="0" w:color="D7EEA0" w:themeColor="accent2" w:themeTint="66"/>
      </w:tblBorders>
    </w:tblPr>
    <w:tblStylePr w:type="firstRow">
      <w:rPr>
        <w:b/>
        <w:bCs/>
      </w:rPr>
      <w:tblPr/>
      <w:tcPr>
        <w:tcBorders>
          <w:bottom w:val="single" w:sz="12" w:space="0" w:color="C3E570" w:themeColor="accent2" w:themeTint="99"/>
        </w:tcBorders>
      </w:tcPr>
    </w:tblStylePr>
    <w:tblStylePr w:type="lastRow">
      <w:rPr>
        <w:b/>
        <w:bCs/>
      </w:rPr>
      <w:tblPr/>
      <w:tcPr>
        <w:tcBorders>
          <w:top w:val="double" w:sz="2" w:space="0" w:color="C3E570" w:themeColor="accent2" w:themeTint="99"/>
        </w:tcBorders>
      </w:tcPr>
    </w:tblStylePr>
    <w:tblStylePr w:type="firstCol">
      <w:rPr>
        <w:b/>
        <w:bCs/>
      </w:rPr>
    </w:tblStylePr>
    <w:tblStylePr w:type="lastCol">
      <w:rPr>
        <w:b/>
        <w:bCs/>
      </w:rPr>
    </w:tblStylePr>
  </w:style>
  <w:style w:type="table" w:styleId="GridTable4">
    <w:name w:val="Grid Table 4"/>
    <w:basedOn w:val="TableNormal"/>
    <w:uiPriority w:val="49"/>
    <w:rsid w:val="00F230C9"/>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30C9"/>
    <w:pPr>
      <w:spacing w:after="0" w:line="240" w:lineRule="auto"/>
    </w:pPr>
    <w:rPr>
      <w:kern w:val="0"/>
      <w14:ligatures w14:val="none"/>
    </w:rPr>
    <w:tblPr>
      <w:tblStyleRowBandSize w:val="1"/>
      <w:tblStyleColBandSize w:val="1"/>
      <w:tblBorders>
        <w:top w:val="single" w:sz="4" w:space="0" w:color="79EC30" w:themeColor="accent1" w:themeTint="99"/>
        <w:left w:val="single" w:sz="4" w:space="0" w:color="79EC30" w:themeColor="accent1" w:themeTint="99"/>
        <w:bottom w:val="single" w:sz="4" w:space="0" w:color="79EC30" w:themeColor="accent1" w:themeTint="99"/>
        <w:right w:val="single" w:sz="4" w:space="0" w:color="79EC30" w:themeColor="accent1" w:themeTint="99"/>
        <w:insideH w:val="single" w:sz="4" w:space="0" w:color="79EC30" w:themeColor="accent1" w:themeTint="99"/>
        <w:insideV w:val="single" w:sz="4" w:space="0" w:color="79EC30" w:themeColor="accent1" w:themeTint="99"/>
      </w:tblBorders>
    </w:tblPr>
    <w:tblStylePr w:type="firstRow">
      <w:rPr>
        <w:b/>
        <w:bCs/>
        <w:color w:val="FFFFFF" w:themeColor="background1"/>
      </w:rPr>
      <w:tblPr/>
      <w:tcPr>
        <w:shd w:val="clear" w:color="auto" w:fill="295C08" w:themeFill="accent1" w:themeFillShade="BF"/>
      </w:tcPr>
    </w:tblStylePr>
    <w:tblStylePr w:type="lastRow">
      <w:rPr>
        <w:b/>
        <w:bCs/>
      </w:rPr>
      <w:tblPr/>
      <w:tcPr>
        <w:tcBorders>
          <w:top w:val="double" w:sz="4" w:space="0" w:color="377C0B" w:themeColor="accent1"/>
        </w:tcBorders>
      </w:tcPr>
    </w:tblStylePr>
    <w:tblStylePr w:type="firstCol">
      <w:rPr>
        <w:b/>
        <w:bCs/>
      </w:rPr>
    </w:tblStylePr>
    <w:tblStylePr w:type="lastCol">
      <w:rPr>
        <w:b/>
        <w:bCs/>
      </w:rPr>
    </w:tblStylePr>
    <w:tblStylePr w:type="band1Vert">
      <w:tblPr/>
      <w:tcPr>
        <w:shd w:val="clear" w:color="auto" w:fill="D2F9BA" w:themeFill="accent1" w:themeFillTint="33"/>
      </w:tcPr>
    </w:tblStylePr>
    <w:tblStylePr w:type="band1Horz">
      <w:tblPr/>
      <w:tcPr>
        <w:shd w:val="clear" w:color="auto" w:fill="D2F9BA" w:themeFill="accent1" w:themeFillTint="33"/>
      </w:tcPr>
    </w:tblStylePr>
  </w:style>
  <w:style w:type="table" w:styleId="GridTable4-Accent2">
    <w:name w:val="Grid Table 4 Accent 2"/>
    <w:basedOn w:val="TableNormal"/>
    <w:uiPriority w:val="49"/>
    <w:rsid w:val="00F230C9"/>
    <w:pPr>
      <w:spacing w:after="0" w:line="240" w:lineRule="auto"/>
    </w:pPr>
    <w:rPr>
      <w:kern w:val="0"/>
      <w14:ligatures w14:val="none"/>
    </w:rPr>
    <w:tblPr>
      <w:tblStyleRowBandSize w:val="1"/>
      <w:tblStyleColBandSize w:val="1"/>
      <w:tblBorders>
        <w:top w:val="single" w:sz="4" w:space="0" w:color="C3E570" w:themeColor="accent2" w:themeTint="99"/>
        <w:left w:val="single" w:sz="4" w:space="0" w:color="C3E570" w:themeColor="accent2" w:themeTint="99"/>
        <w:bottom w:val="single" w:sz="4" w:space="0" w:color="C3E570" w:themeColor="accent2" w:themeTint="99"/>
        <w:right w:val="single" w:sz="4" w:space="0" w:color="C3E570" w:themeColor="accent2" w:themeTint="99"/>
        <w:insideH w:val="single" w:sz="4" w:space="0" w:color="C3E570" w:themeColor="accent2" w:themeTint="99"/>
        <w:insideV w:val="single" w:sz="4" w:space="0" w:color="C3E570" w:themeColor="accent2" w:themeTint="99"/>
      </w:tblBorders>
    </w:tblPr>
    <w:tblStylePr w:type="firstRow">
      <w:rPr>
        <w:b/>
        <w:bCs/>
        <w:color w:val="FFFFFF" w:themeColor="background1"/>
      </w:rPr>
      <w:tblPr/>
      <w:tcPr>
        <w:tcBorders>
          <w:top w:val="single" w:sz="4" w:space="0" w:color="95C423" w:themeColor="accent2"/>
          <w:left w:val="single" w:sz="4" w:space="0" w:color="95C423" w:themeColor="accent2"/>
          <w:bottom w:val="single" w:sz="4" w:space="0" w:color="95C423" w:themeColor="accent2"/>
          <w:right w:val="single" w:sz="4" w:space="0" w:color="95C423" w:themeColor="accent2"/>
          <w:insideH w:val="nil"/>
          <w:insideV w:val="nil"/>
        </w:tcBorders>
        <w:shd w:val="clear" w:color="auto" w:fill="95C423" w:themeFill="accent2"/>
      </w:tcPr>
    </w:tblStylePr>
    <w:tblStylePr w:type="lastRow">
      <w:rPr>
        <w:b/>
        <w:bCs/>
      </w:rPr>
      <w:tblPr/>
      <w:tcPr>
        <w:tcBorders>
          <w:top w:val="double" w:sz="4" w:space="0" w:color="95C423" w:themeColor="accent2"/>
        </w:tcBorders>
      </w:tcPr>
    </w:tblStylePr>
    <w:tblStylePr w:type="firstCol">
      <w:rPr>
        <w:b/>
        <w:bCs/>
      </w:rPr>
    </w:tblStylePr>
    <w:tblStylePr w:type="lastCol">
      <w:rPr>
        <w:b/>
        <w:bCs/>
      </w:rPr>
    </w:tblStylePr>
    <w:tblStylePr w:type="band1Vert">
      <w:tblPr/>
      <w:tcPr>
        <w:shd w:val="clear" w:color="auto" w:fill="EBF6CF" w:themeFill="accent2" w:themeFillTint="33"/>
      </w:tcPr>
    </w:tblStylePr>
    <w:tblStylePr w:type="band1Horz">
      <w:tblPr/>
      <w:tcPr>
        <w:shd w:val="clear" w:color="auto" w:fill="EBF6CF" w:themeFill="accent2" w:themeFillTint="33"/>
      </w:tcPr>
    </w:tblStylePr>
  </w:style>
  <w:style w:type="table" w:styleId="GridTable4-Accent3">
    <w:name w:val="Grid Table 4 Accent 3"/>
    <w:basedOn w:val="TableNormal"/>
    <w:uiPriority w:val="49"/>
    <w:rsid w:val="00F230C9"/>
    <w:pPr>
      <w:spacing w:after="0" w:line="240" w:lineRule="auto"/>
    </w:pPr>
    <w:rPr>
      <w:kern w:val="0"/>
      <w14:ligatures w14:val="none"/>
    </w:rPr>
    <w:tblPr>
      <w:tblStyleRowBandSize w:val="1"/>
      <w:tblStyleColBandSize w:val="1"/>
      <w:tblBorders>
        <w:top w:val="single" w:sz="4" w:space="0" w:color="4A96CF" w:themeColor="accent3" w:themeTint="99"/>
        <w:left w:val="single" w:sz="4" w:space="0" w:color="4A96CF" w:themeColor="accent3" w:themeTint="99"/>
        <w:bottom w:val="single" w:sz="4" w:space="0" w:color="4A96CF" w:themeColor="accent3" w:themeTint="99"/>
        <w:right w:val="single" w:sz="4" w:space="0" w:color="4A96CF" w:themeColor="accent3" w:themeTint="99"/>
        <w:insideH w:val="single" w:sz="4" w:space="0" w:color="4A96CF" w:themeColor="accent3" w:themeTint="99"/>
        <w:insideV w:val="single" w:sz="4" w:space="0" w:color="4A96CF" w:themeColor="accent3" w:themeTint="99"/>
      </w:tblBorders>
    </w:tblPr>
    <w:tblStylePr w:type="firstRow">
      <w:rPr>
        <w:b/>
        <w:bCs/>
        <w:color w:val="FFFFFF" w:themeColor="background1"/>
      </w:rPr>
      <w:tblPr/>
      <w:tcPr>
        <w:tcBorders>
          <w:top w:val="single" w:sz="4" w:space="0" w:color="1B4666" w:themeColor="accent3"/>
          <w:left w:val="single" w:sz="4" w:space="0" w:color="1B4666" w:themeColor="accent3"/>
          <w:bottom w:val="single" w:sz="4" w:space="0" w:color="1B4666" w:themeColor="accent3"/>
          <w:right w:val="single" w:sz="4" w:space="0" w:color="1B4666" w:themeColor="accent3"/>
          <w:insideH w:val="nil"/>
          <w:insideV w:val="nil"/>
        </w:tcBorders>
        <w:shd w:val="clear" w:color="auto" w:fill="1B4666" w:themeFill="accent3"/>
      </w:tcPr>
    </w:tblStylePr>
    <w:tblStylePr w:type="lastRow">
      <w:rPr>
        <w:b/>
        <w:bCs/>
      </w:rPr>
      <w:tblPr/>
      <w:tcPr>
        <w:tcBorders>
          <w:top w:val="double" w:sz="4" w:space="0" w:color="1B4666" w:themeColor="accent3"/>
        </w:tcBorders>
      </w:tcPr>
    </w:tblStylePr>
    <w:tblStylePr w:type="firstCol">
      <w:rPr>
        <w:b/>
        <w:bCs/>
      </w:rPr>
    </w:tblStylePr>
    <w:tblStylePr w:type="lastCol">
      <w:rPr>
        <w:b/>
        <w:bCs/>
      </w:rPr>
    </w:tblStylePr>
    <w:tblStylePr w:type="band1Vert">
      <w:tblPr/>
      <w:tcPr>
        <w:shd w:val="clear" w:color="auto" w:fill="C2DCEF" w:themeFill="accent3" w:themeFillTint="33"/>
      </w:tcPr>
    </w:tblStylePr>
    <w:tblStylePr w:type="band1Horz">
      <w:tblPr/>
      <w:tcPr>
        <w:shd w:val="clear" w:color="auto" w:fill="C2DCEF" w:themeFill="accent3" w:themeFillTint="33"/>
      </w:tcPr>
    </w:tblStylePr>
  </w:style>
  <w:style w:type="table" w:styleId="GridTable4-Accent4">
    <w:name w:val="Grid Table 4 Accent 4"/>
    <w:aliases w:val="DISR banded - Table 2"/>
    <w:basedOn w:val="TableNormal"/>
    <w:uiPriority w:val="49"/>
    <w:rsid w:val="00F230C9"/>
    <w:pPr>
      <w:spacing w:after="0" w:line="240" w:lineRule="auto"/>
    </w:pPr>
    <w:rPr>
      <w:kern w:val="0"/>
      <w14:ligatures w14:val="none"/>
    </w:rPr>
    <w:tblPr>
      <w:tblStyleRowBandSize w:val="1"/>
      <w:tblStyleColBandSize w:val="1"/>
      <w:tblBorders>
        <w:top w:val="single" w:sz="4" w:space="0" w:color="00294E" w:themeColor="text2"/>
        <w:left w:val="single" w:sz="4" w:space="0" w:color="00294E" w:themeColor="text2"/>
        <w:bottom w:val="single" w:sz="4" w:space="0" w:color="00294E" w:themeColor="text2"/>
        <w:right w:val="single" w:sz="4" w:space="0" w:color="00294E" w:themeColor="text2"/>
        <w:insideH w:val="single" w:sz="4" w:space="0" w:color="00294E" w:themeColor="text2"/>
        <w:insideV w:val="single" w:sz="4" w:space="0" w:color="00294E" w:themeColor="text2"/>
      </w:tblBorders>
    </w:tblPr>
    <w:tblStylePr w:type="firstRow">
      <w:rPr>
        <w:b/>
        <w:bCs/>
        <w:color w:val="FFFFFF" w:themeColor="background1"/>
      </w:rPr>
      <w:tblPr/>
      <w:tcPr>
        <w:shd w:val="clear" w:color="auto" w:fill="00294E" w:themeFill="text2"/>
      </w:tcPr>
    </w:tblStylePr>
    <w:tblStylePr w:type="lastRow">
      <w:rPr>
        <w:b/>
        <w:bCs/>
      </w:rPr>
      <w:tblPr/>
      <w:tcPr>
        <w:tcBorders>
          <w:top w:val="single" w:sz="18" w:space="0" w:color="58595B" w:themeColor="accent4"/>
        </w:tcBorders>
      </w:tcPr>
    </w:tblStylePr>
    <w:tblStylePr w:type="firstCol">
      <w:rPr>
        <w:b/>
        <w:bCs/>
      </w:rPr>
    </w:tblStylePr>
    <w:tblStylePr w:type="lastCol">
      <w:rPr>
        <w:b/>
        <w:bCs/>
      </w:rPr>
    </w:tblStylePr>
    <w:tblStylePr w:type="band1Vert">
      <w:tblPr/>
      <w:tcPr>
        <w:shd w:val="clear" w:color="auto" w:fill="DDDDDE" w:themeFill="accent4" w:themeFillTint="33"/>
      </w:tcPr>
    </w:tblStylePr>
    <w:tblStylePr w:type="band1Horz">
      <w:tblPr/>
      <w:tcPr>
        <w:shd w:val="clear" w:color="auto" w:fill="E7E6E6" w:themeFill="background2"/>
      </w:tcPr>
    </w:tblStylePr>
  </w:style>
  <w:style w:type="table" w:styleId="GridTable4-Accent5">
    <w:name w:val="Grid Table 4 Accent 5"/>
    <w:basedOn w:val="TableNormal"/>
    <w:uiPriority w:val="49"/>
    <w:rsid w:val="00F230C9"/>
    <w:pPr>
      <w:spacing w:after="0" w:line="240" w:lineRule="auto"/>
    </w:pPr>
    <w:rPr>
      <w:kern w:val="0"/>
      <w14:ligatures w14:val="none"/>
    </w:rPr>
    <w:tblPr>
      <w:tblStyleRowBandSize w:val="1"/>
      <w:tblStyleColBandSize w:val="1"/>
      <w:tblBorders>
        <w:top w:val="single" w:sz="4" w:space="0" w:color="B5C2CF" w:themeColor="accent5" w:themeTint="99"/>
        <w:left w:val="single" w:sz="4" w:space="0" w:color="B5C2CF" w:themeColor="accent5" w:themeTint="99"/>
        <w:bottom w:val="single" w:sz="4" w:space="0" w:color="B5C2CF" w:themeColor="accent5" w:themeTint="99"/>
        <w:right w:val="single" w:sz="4" w:space="0" w:color="B5C2CF" w:themeColor="accent5" w:themeTint="99"/>
        <w:insideH w:val="single" w:sz="4" w:space="0" w:color="B5C2CF" w:themeColor="accent5" w:themeTint="99"/>
        <w:insideV w:val="single" w:sz="4" w:space="0" w:color="B5C2CF" w:themeColor="accent5" w:themeTint="99"/>
      </w:tblBorders>
    </w:tblPr>
    <w:tblStylePr w:type="firstRow">
      <w:rPr>
        <w:b/>
        <w:bCs/>
        <w:color w:val="FFFFFF" w:themeColor="background1"/>
      </w:rPr>
      <w:tblPr/>
      <w:tcPr>
        <w:tcBorders>
          <w:top w:val="single" w:sz="4" w:space="0" w:color="859AAF" w:themeColor="accent5"/>
          <w:left w:val="single" w:sz="4" w:space="0" w:color="859AAF" w:themeColor="accent5"/>
          <w:bottom w:val="single" w:sz="4" w:space="0" w:color="859AAF" w:themeColor="accent5"/>
          <w:right w:val="single" w:sz="4" w:space="0" w:color="859AAF" w:themeColor="accent5"/>
          <w:insideH w:val="nil"/>
          <w:insideV w:val="nil"/>
        </w:tcBorders>
        <w:shd w:val="clear" w:color="auto" w:fill="859AAF" w:themeFill="accent5"/>
      </w:tcPr>
    </w:tblStylePr>
    <w:tblStylePr w:type="lastRow">
      <w:rPr>
        <w:b/>
        <w:bCs/>
      </w:rPr>
      <w:tblPr/>
      <w:tcPr>
        <w:tcBorders>
          <w:top w:val="double" w:sz="4" w:space="0" w:color="859AAF" w:themeColor="accent5"/>
        </w:tcBorders>
      </w:tcPr>
    </w:tblStylePr>
    <w:tblStylePr w:type="firstCol">
      <w:rPr>
        <w:b/>
        <w:bCs/>
      </w:rPr>
    </w:tblStylePr>
    <w:tblStylePr w:type="lastCol">
      <w:rPr>
        <w:b/>
        <w:bCs/>
      </w:rPr>
    </w:tblStylePr>
    <w:tblStylePr w:type="band1Vert">
      <w:tblPr/>
      <w:tcPr>
        <w:shd w:val="clear" w:color="auto" w:fill="E6EAEF" w:themeFill="accent5" w:themeFillTint="33"/>
      </w:tcPr>
    </w:tblStylePr>
    <w:tblStylePr w:type="band1Horz">
      <w:tblPr/>
      <w:tcPr>
        <w:shd w:val="clear" w:color="auto" w:fill="E6EAEF" w:themeFill="accent5" w:themeFillTint="33"/>
      </w:tcPr>
    </w:tblStylePr>
  </w:style>
  <w:style w:type="table" w:styleId="GridTable5Dark-Accent1">
    <w:name w:val="Grid Table 5 Dark Accent 1"/>
    <w:basedOn w:val="TableNormal"/>
    <w:uiPriority w:val="50"/>
    <w:rsid w:val="00F230C9"/>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9B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7C0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7C0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7C0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7C0B" w:themeFill="accent1"/>
      </w:tcPr>
    </w:tblStylePr>
    <w:tblStylePr w:type="band1Vert">
      <w:tblPr/>
      <w:tcPr>
        <w:shd w:val="clear" w:color="auto" w:fill="A5F275" w:themeFill="accent1" w:themeFillTint="66"/>
      </w:tcPr>
    </w:tblStylePr>
    <w:tblStylePr w:type="band1Horz">
      <w:tblPr/>
      <w:tcPr>
        <w:shd w:val="clear" w:color="auto" w:fill="A5F275" w:themeFill="accent1" w:themeFillTint="66"/>
      </w:tcPr>
    </w:tblStylePr>
  </w:style>
  <w:style w:type="paragraph" w:styleId="ListBullet">
    <w:name w:val="List Bullet"/>
    <w:basedOn w:val="Normal"/>
    <w:uiPriority w:val="99"/>
    <w:unhideWhenUsed/>
    <w:rsid w:val="00F230C9"/>
    <w:pPr>
      <w:numPr>
        <w:numId w:val="26"/>
      </w:numPr>
      <w:ind w:left="567" w:hanging="567"/>
      <w:contextualSpacing/>
    </w:pPr>
  </w:style>
  <w:style w:type="paragraph" w:styleId="ListBullet2">
    <w:name w:val="List Bullet 2"/>
    <w:basedOn w:val="Normal"/>
    <w:uiPriority w:val="99"/>
    <w:semiHidden/>
    <w:unhideWhenUsed/>
    <w:rsid w:val="00F230C9"/>
    <w:pPr>
      <w:numPr>
        <w:numId w:val="28"/>
      </w:numPr>
      <w:ind w:left="567" w:hanging="567"/>
      <w:contextualSpacing/>
    </w:pPr>
  </w:style>
  <w:style w:type="table" w:styleId="ListTable3-Accent2">
    <w:name w:val="List Table 3 Accent 2"/>
    <w:basedOn w:val="TableNormal"/>
    <w:uiPriority w:val="48"/>
    <w:rsid w:val="00F230C9"/>
    <w:pPr>
      <w:spacing w:after="0" w:line="240" w:lineRule="auto"/>
    </w:pPr>
    <w:rPr>
      <w:kern w:val="0"/>
      <w14:ligatures w14:val="none"/>
    </w:rPr>
    <w:tblPr>
      <w:tblStyleRowBandSize w:val="1"/>
      <w:tblStyleColBandSize w:val="1"/>
      <w:tblBorders>
        <w:top w:val="single" w:sz="4" w:space="0" w:color="95C423" w:themeColor="accent2"/>
        <w:left w:val="single" w:sz="4" w:space="0" w:color="95C423" w:themeColor="accent2"/>
        <w:bottom w:val="single" w:sz="4" w:space="0" w:color="95C423" w:themeColor="accent2"/>
        <w:right w:val="single" w:sz="4" w:space="0" w:color="95C423" w:themeColor="accent2"/>
      </w:tblBorders>
    </w:tblPr>
    <w:tblStylePr w:type="firstRow">
      <w:rPr>
        <w:b/>
        <w:bCs/>
        <w:color w:val="FFFFFF" w:themeColor="background1"/>
      </w:rPr>
      <w:tblPr/>
      <w:tcPr>
        <w:shd w:val="clear" w:color="auto" w:fill="95C423" w:themeFill="accent2"/>
      </w:tcPr>
    </w:tblStylePr>
    <w:tblStylePr w:type="lastRow">
      <w:rPr>
        <w:b/>
        <w:bCs/>
      </w:rPr>
      <w:tblPr/>
      <w:tcPr>
        <w:tcBorders>
          <w:top w:val="double" w:sz="4" w:space="0" w:color="95C42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C423" w:themeColor="accent2"/>
          <w:right w:val="single" w:sz="4" w:space="0" w:color="95C423" w:themeColor="accent2"/>
        </w:tcBorders>
      </w:tcPr>
    </w:tblStylePr>
    <w:tblStylePr w:type="band1Horz">
      <w:tblPr/>
      <w:tcPr>
        <w:tcBorders>
          <w:top w:val="single" w:sz="4" w:space="0" w:color="95C423" w:themeColor="accent2"/>
          <w:bottom w:val="single" w:sz="4" w:space="0" w:color="95C42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C423" w:themeColor="accent2"/>
          <w:left w:val="nil"/>
        </w:tcBorders>
      </w:tcPr>
    </w:tblStylePr>
    <w:tblStylePr w:type="swCell">
      <w:tblPr/>
      <w:tcPr>
        <w:tcBorders>
          <w:top w:val="double" w:sz="4" w:space="0" w:color="95C423" w:themeColor="accent2"/>
          <w:right w:val="nil"/>
        </w:tcBorders>
      </w:tcPr>
    </w:tblStylePr>
  </w:style>
  <w:style w:type="table" w:styleId="ListTable3-Accent3">
    <w:name w:val="List Table 3 Accent 3"/>
    <w:basedOn w:val="TableNormal"/>
    <w:uiPriority w:val="48"/>
    <w:rsid w:val="00F230C9"/>
    <w:pPr>
      <w:spacing w:after="0" w:line="240" w:lineRule="auto"/>
    </w:pPr>
    <w:rPr>
      <w:kern w:val="0"/>
      <w14:ligatures w14:val="none"/>
    </w:rPr>
    <w:tblPr>
      <w:tblStyleRowBandSize w:val="1"/>
      <w:tblStyleColBandSize w:val="1"/>
      <w:tblBorders>
        <w:top w:val="single" w:sz="4" w:space="0" w:color="1B4666" w:themeColor="accent3"/>
        <w:left w:val="single" w:sz="4" w:space="0" w:color="1B4666" w:themeColor="accent3"/>
        <w:bottom w:val="single" w:sz="4" w:space="0" w:color="1B4666" w:themeColor="accent3"/>
        <w:right w:val="single" w:sz="4" w:space="0" w:color="1B4666" w:themeColor="accent3"/>
      </w:tblBorders>
    </w:tblPr>
    <w:trPr>
      <w:cantSplit/>
    </w:trPr>
    <w:tblStylePr w:type="firstRow">
      <w:rPr>
        <w:b/>
        <w:bCs/>
        <w:color w:val="FFFFFF" w:themeColor="background1"/>
      </w:rPr>
      <w:tblPr/>
      <w:trPr>
        <w:cantSplit/>
        <w:tblHeader/>
      </w:trPr>
      <w:tcPr>
        <w:shd w:val="clear" w:color="auto" w:fill="1B4666" w:themeFill="accent3"/>
      </w:tcPr>
    </w:tblStylePr>
    <w:tblStylePr w:type="lastRow">
      <w:rPr>
        <w:b/>
        <w:bCs/>
      </w:rPr>
      <w:tblPr/>
      <w:tcPr>
        <w:tcBorders>
          <w:top w:val="double" w:sz="4" w:space="0" w:color="1B466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4666" w:themeColor="accent3"/>
          <w:right w:val="single" w:sz="4" w:space="0" w:color="1B4666" w:themeColor="accent3"/>
        </w:tcBorders>
      </w:tcPr>
    </w:tblStylePr>
    <w:tblStylePr w:type="band1Horz">
      <w:tblPr/>
      <w:tcPr>
        <w:tcBorders>
          <w:top w:val="single" w:sz="4" w:space="0" w:color="1B4666" w:themeColor="accent3"/>
          <w:bottom w:val="single" w:sz="4" w:space="0" w:color="1B466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4666" w:themeColor="accent3"/>
          <w:left w:val="nil"/>
        </w:tcBorders>
      </w:tcPr>
    </w:tblStylePr>
    <w:tblStylePr w:type="swCell">
      <w:tblPr/>
      <w:tcPr>
        <w:tcBorders>
          <w:top w:val="double" w:sz="4" w:space="0" w:color="1B4666" w:themeColor="accent3"/>
          <w:right w:val="nil"/>
        </w:tcBorders>
      </w:tcPr>
    </w:tblStylePr>
  </w:style>
  <w:style w:type="table" w:styleId="ListTable3-Accent4">
    <w:name w:val="List Table 3 Accent 4"/>
    <w:basedOn w:val="TableNormal"/>
    <w:uiPriority w:val="48"/>
    <w:rsid w:val="00F230C9"/>
    <w:pPr>
      <w:spacing w:after="0" w:line="240" w:lineRule="auto"/>
    </w:pPr>
    <w:rPr>
      <w:kern w:val="0"/>
      <w14:ligatures w14:val="none"/>
    </w:rPr>
    <w:tblPr>
      <w:tblStyleRowBandSize w:val="1"/>
      <w:tblStyleColBandSize w:val="1"/>
      <w:tblBorders>
        <w:top w:val="single" w:sz="4" w:space="0" w:color="00294E" w:themeColor="text2"/>
        <w:left w:val="single" w:sz="4" w:space="0" w:color="00294E" w:themeColor="text2"/>
        <w:bottom w:val="single" w:sz="4" w:space="0" w:color="00294E" w:themeColor="text2"/>
        <w:right w:val="single" w:sz="4" w:space="0" w:color="00294E" w:themeColor="text2"/>
        <w:insideH w:val="single" w:sz="4" w:space="0" w:color="00294E" w:themeColor="text2"/>
        <w:insideV w:val="single" w:sz="4" w:space="0" w:color="00294E" w:themeColor="text2"/>
      </w:tblBorders>
    </w:tblPr>
    <w:tblStylePr w:type="firstRow">
      <w:rPr>
        <w:b/>
        <w:bCs/>
        <w:color w:val="FFFFFF" w:themeColor="background1"/>
      </w:rPr>
      <w:tblPr/>
      <w:tcPr>
        <w:tcBorders>
          <w:top w:val="single" w:sz="4" w:space="0" w:color="00294E" w:themeColor="text2"/>
          <w:left w:val="single" w:sz="4" w:space="0" w:color="00294E" w:themeColor="text2"/>
          <w:bottom w:val="single" w:sz="4" w:space="0" w:color="00294E" w:themeColor="text2"/>
          <w:right w:val="single" w:sz="4" w:space="0" w:color="00294E" w:themeColor="text2"/>
          <w:insideH w:val="single" w:sz="4" w:space="0" w:color="00294E" w:themeColor="text2"/>
          <w:insideV w:val="single" w:sz="4" w:space="0" w:color="00294E" w:themeColor="text2"/>
        </w:tcBorders>
        <w:shd w:val="clear" w:color="auto" w:fill="00294E" w:themeFill="text2"/>
      </w:tcPr>
    </w:tblStylePr>
    <w:tblStylePr w:type="lastRow">
      <w:rPr>
        <w:b/>
        <w:bCs/>
      </w:rPr>
      <w:tblPr/>
      <w:tcPr>
        <w:tcBorders>
          <w:top w:val="double" w:sz="4" w:space="0" w:color="58595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595B" w:themeColor="accent4"/>
          <w:right w:val="single" w:sz="4" w:space="0" w:color="58595B" w:themeColor="accent4"/>
        </w:tcBorders>
      </w:tcPr>
    </w:tblStylePr>
    <w:tblStylePr w:type="band1Horz">
      <w:tblPr/>
      <w:tcPr>
        <w:tcBorders>
          <w:top w:val="single" w:sz="4" w:space="0" w:color="58595B" w:themeColor="accent4"/>
          <w:bottom w:val="single" w:sz="4" w:space="0" w:color="58595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595B" w:themeColor="accent4"/>
          <w:left w:val="nil"/>
        </w:tcBorders>
      </w:tcPr>
    </w:tblStylePr>
    <w:tblStylePr w:type="swCell">
      <w:tblPr/>
      <w:tcPr>
        <w:tcBorders>
          <w:top w:val="double" w:sz="4" w:space="0" w:color="58595B" w:themeColor="accent4"/>
          <w:right w:val="nil"/>
        </w:tcBorders>
      </w:tcPr>
    </w:tblStylePr>
  </w:style>
  <w:style w:type="paragraph" w:styleId="NoSpacing">
    <w:name w:val="No Spacing"/>
    <w:link w:val="NoSpacingChar"/>
    <w:uiPriority w:val="1"/>
    <w:qFormat/>
    <w:rsid w:val="00F230C9"/>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230C9"/>
    <w:rPr>
      <w:rFonts w:eastAsiaTheme="minorEastAsia"/>
      <w:kern w:val="0"/>
      <w:lang w:val="en-US"/>
      <w14:ligatures w14:val="none"/>
    </w:rPr>
  </w:style>
  <w:style w:type="paragraph" w:styleId="NormalWeb">
    <w:name w:val="Normal (Web)"/>
    <w:basedOn w:val="Normal"/>
    <w:uiPriority w:val="99"/>
    <w:semiHidden/>
    <w:unhideWhenUsed/>
    <w:rsid w:val="00F230C9"/>
    <w:pPr>
      <w:spacing w:before="100" w:beforeAutospacing="1" w:after="100" w:afterAutospacing="1"/>
    </w:pPr>
    <w:rPr>
      <w:rFonts w:ascii="Times New Roman" w:eastAsia="Times New Roman" w:hAnsi="Times New Roman" w:cs="Times New Roman"/>
      <w:szCs w:val="24"/>
      <w:lang w:eastAsia="en-AU"/>
    </w:rPr>
  </w:style>
  <w:style w:type="character" w:styleId="PlaceholderText">
    <w:name w:val="Placeholder Text"/>
    <w:basedOn w:val="DefaultParagraphFont"/>
    <w:uiPriority w:val="99"/>
    <w:semiHidden/>
    <w:rsid w:val="00F230C9"/>
    <w:rPr>
      <w:color w:val="808080"/>
    </w:rPr>
  </w:style>
  <w:style w:type="table" w:styleId="PlainTable2">
    <w:name w:val="Plain Table 2"/>
    <w:basedOn w:val="TableNormal"/>
    <w:uiPriority w:val="42"/>
    <w:rsid w:val="00F230C9"/>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F230C9"/>
    <w:pPr>
      <w:spacing w:after="100"/>
      <w:ind w:left="442"/>
    </w:pPr>
  </w:style>
  <w:style w:type="paragraph" w:styleId="TOC5">
    <w:name w:val="toc 5"/>
    <w:basedOn w:val="Normal"/>
    <w:next w:val="Normal"/>
    <w:autoRedefine/>
    <w:uiPriority w:val="39"/>
    <w:unhideWhenUsed/>
    <w:rsid w:val="00F230C9"/>
    <w:pPr>
      <w:spacing w:after="100"/>
      <w:ind w:left="601"/>
    </w:pPr>
  </w:style>
  <w:style w:type="table" w:customStyle="1" w:styleId="Verticaltable">
    <w:name w:val="Vertical table"/>
    <w:basedOn w:val="TableNormal"/>
    <w:uiPriority w:val="99"/>
    <w:rsid w:val="00F230C9"/>
    <w:pPr>
      <w:spacing w:after="0" w:line="240" w:lineRule="auto"/>
    </w:pPr>
    <w:rPr>
      <w:kern w:val="0"/>
      <w14:ligatures w14:val="none"/>
    </w:rPr>
    <w:tblPr>
      <w:tblBorders>
        <w:top w:val="single" w:sz="4" w:space="0" w:color="00294E" w:themeColor="text2"/>
        <w:left w:val="single" w:sz="4" w:space="0" w:color="00294E" w:themeColor="text2"/>
        <w:bottom w:val="single" w:sz="4" w:space="0" w:color="00294E" w:themeColor="text2"/>
        <w:right w:val="single" w:sz="4" w:space="0" w:color="00294E" w:themeColor="text2"/>
        <w:insideH w:val="single" w:sz="4" w:space="0" w:color="00294E" w:themeColor="text2"/>
        <w:insideV w:val="single" w:sz="4" w:space="0" w:color="00294E" w:themeColor="text2"/>
      </w:tblBorders>
    </w:tblPr>
    <w:tblStylePr w:type="lastRow">
      <w:rPr>
        <w:b w:val="0"/>
      </w:rPr>
    </w:tblStylePr>
    <w:tblStylePr w:type="firstCol">
      <w:rPr>
        <w:b/>
        <w:color w:val="FFFFFF" w:themeColor="background1"/>
      </w:rPr>
      <w:tblPr/>
      <w:tcPr>
        <w:shd w:val="clear" w:color="auto" w:fill="00294E" w:themeFill="text2"/>
      </w:tcPr>
    </w:tblStylePr>
  </w:style>
  <w:style w:type="character" w:styleId="SubtleReference">
    <w:name w:val="Subtle Reference"/>
    <w:basedOn w:val="DefaultParagraphFont"/>
    <w:uiPriority w:val="31"/>
    <w:qFormat/>
    <w:rsid w:val="00EA10F2"/>
    <w:rPr>
      <w:smallCaps/>
      <w:color w:val="5A5A5A" w:themeColor="text1" w:themeTint="A5"/>
    </w:rPr>
  </w:style>
  <w:style w:type="character" w:styleId="BookTitle">
    <w:name w:val="Book Title"/>
    <w:basedOn w:val="DefaultParagraphFont"/>
    <w:uiPriority w:val="33"/>
    <w:qFormat/>
    <w:rsid w:val="00446142"/>
    <w:rPr>
      <w:b/>
      <w:bCs/>
      <w:i/>
      <w:iCs/>
      <w:spacing w:val="5"/>
    </w:rPr>
  </w:style>
  <w:style w:type="paragraph" w:customStyle="1" w:styleId="Heading3Numbered">
    <w:name w:val="Heading 3 Numbered"/>
    <w:basedOn w:val="Heading3"/>
    <w:qFormat/>
    <w:rsid w:val="00F230C9"/>
    <w:pPr>
      <w:numPr>
        <w:ilvl w:val="1"/>
        <w:numId w:val="42"/>
      </w:numPr>
    </w:pPr>
  </w:style>
  <w:style w:type="paragraph" w:customStyle="1" w:styleId="Heading4Numbered">
    <w:name w:val="Heading 4 Numbered"/>
    <w:basedOn w:val="Heading4"/>
    <w:qFormat/>
    <w:rsid w:val="00F230C9"/>
    <w:pPr>
      <w:numPr>
        <w:ilvl w:val="2"/>
        <w:numId w:val="42"/>
      </w:numPr>
    </w:pPr>
  </w:style>
  <w:style w:type="paragraph" w:styleId="MessageHeader">
    <w:name w:val="Message Header"/>
    <w:basedOn w:val="Normal"/>
    <w:link w:val="MessageHeaderChar"/>
    <w:uiPriority w:val="99"/>
    <w:unhideWhenUsed/>
    <w:rsid w:val="00333BE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333BE7"/>
    <w:rPr>
      <w:rFonts w:asciiTheme="majorHAnsi" w:eastAsiaTheme="majorEastAsia" w:hAnsiTheme="majorHAnsi" w:cstheme="majorBidi"/>
      <w:kern w:val="0"/>
      <w:sz w:val="24"/>
      <w:szCs w:val="24"/>
      <w:shd w:val="pct20" w:color="auto" w:fill="auto"/>
      <w14:ligatures w14:val="none"/>
    </w:rPr>
  </w:style>
  <w:style w:type="paragraph" w:customStyle="1" w:styleId="Tagline">
    <w:name w:val="Tagline"/>
    <w:basedOn w:val="Normal"/>
    <w:qFormat/>
    <w:rsid w:val="00F230C9"/>
    <w:pPr>
      <w:spacing w:before="6520"/>
      <w:ind w:right="5670"/>
    </w:pPr>
    <w:rPr>
      <w:color w:val="FFFFFF" w:themeColor="background1"/>
      <w:kern w:val="2"/>
      <w:sz w:val="28"/>
      <w:szCs w:val="34"/>
      <w14:ligatures w14:val="standardContextual"/>
    </w:rPr>
  </w:style>
  <w:style w:type="paragraph" w:customStyle="1" w:styleId="Logo">
    <w:name w:val="Logo"/>
    <w:basedOn w:val="Normal"/>
    <w:qFormat/>
    <w:rsid w:val="00F230C9"/>
    <w:pPr>
      <w:spacing w:before="320"/>
    </w:pPr>
  </w:style>
  <w:style w:type="paragraph" w:customStyle="1" w:styleId="TableText">
    <w:name w:val="Table Text"/>
    <w:basedOn w:val="Normal"/>
    <w:qFormat/>
    <w:rsid w:val="00F230C9"/>
    <w:rPr>
      <w:sz w:val="20"/>
      <w:szCs w:val="18"/>
    </w:rPr>
  </w:style>
  <w:style w:type="paragraph" w:customStyle="1" w:styleId="TableBullets">
    <w:name w:val="Table Bullets"/>
    <w:basedOn w:val="TableText"/>
    <w:qFormat/>
    <w:rsid w:val="00F230C9"/>
    <w:pPr>
      <w:numPr>
        <w:numId w:val="45"/>
      </w:numPr>
      <w:spacing w:before="60" w:after="60"/>
    </w:pPr>
  </w:style>
  <w:style w:type="paragraph" w:customStyle="1" w:styleId="Heading2Prelims">
    <w:name w:val="Heading 2 Prelims"/>
    <w:basedOn w:val="Heading2"/>
    <w:qFormat/>
    <w:rsid w:val="00F230C9"/>
    <w:pPr>
      <w:spacing w:before="240" w:after="120"/>
    </w:pPr>
    <w:rPr>
      <w:sz w:val="36"/>
      <w:szCs w:val="36"/>
    </w:rPr>
  </w:style>
  <w:style w:type="paragraph" w:customStyle="1" w:styleId="PrelimsBullets">
    <w:name w:val="Prelims Bullets"/>
    <w:basedOn w:val="Prelims"/>
    <w:qFormat/>
    <w:rsid w:val="00F230C9"/>
    <w:pPr>
      <w:numPr>
        <w:numId w:val="40"/>
      </w:numPr>
      <w:spacing w:before="60" w:after="60"/>
    </w:pPr>
  </w:style>
  <w:style w:type="paragraph" w:customStyle="1" w:styleId="Captionsecondary">
    <w:name w:val="Caption secondary"/>
    <w:basedOn w:val="Caption"/>
    <w:qFormat/>
    <w:rsid w:val="00F230C9"/>
    <w:pPr>
      <w:spacing w:before="120"/>
    </w:pPr>
    <w:rPr>
      <w:rFonts w:asciiTheme="majorHAnsi" w:hAnsiTheme="majorHAnsi"/>
      <w:b w:val="0"/>
      <w:color w:val="00294E"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345794">
      <w:bodyDiv w:val="1"/>
      <w:marLeft w:val="0"/>
      <w:marRight w:val="0"/>
      <w:marTop w:val="0"/>
      <w:marBottom w:val="0"/>
      <w:divBdr>
        <w:top w:val="none" w:sz="0" w:space="0" w:color="auto"/>
        <w:left w:val="none" w:sz="0" w:space="0" w:color="auto"/>
        <w:bottom w:val="none" w:sz="0" w:space="0" w:color="auto"/>
        <w:right w:val="none" w:sz="0" w:space="0" w:color="auto"/>
      </w:divBdr>
      <w:divsChild>
        <w:div w:id="32930503">
          <w:marLeft w:val="0"/>
          <w:marRight w:val="0"/>
          <w:marTop w:val="0"/>
          <w:marBottom w:val="0"/>
          <w:divBdr>
            <w:top w:val="none" w:sz="0" w:space="0" w:color="auto"/>
            <w:left w:val="none" w:sz="0" w:space="0" w:color="auto"/>
            <w:bottom w:val="none" w:sz="0" w:space="0" w:color="auto"/>
            <w:right w:val="none" w:sz="0" w:space="0" w:color="auto"/>
          </w:divBdr>
        </w:div>
        <w:div w:id="633216400">
          <w:marLeft w:val="0"/>
          <w:marRight w:val="0"/>
          <w:marTop w:val="0"/>
          <w:marBottom w:val="0"/>
          <w:divBdr>
            <w:top w:val="none" w:sz="0" w:space="0" w:color="auto"/>
            <w:left w:val="none" w:sz="0" w:space="0" w:color="auto"/>
            <w:bottom w:val="none" w:sz="0" w:space="0" w:color="auto"/>
            <w:right w:val="none" w:sz="0" w:space="0" w:color="auto"/>
          </w:divBdr>
        </w:div>
        <w:div w:id="778715974">
          <w:marLeft w:val="0"/>
          <w:marRight w:val="0"/>
          <w:marTop w:val="0"/>
          <w:marBottom w:val="0"/>
          <w:divBdr>
            <w:top w:val="none" w:sz="0" w:space="0" w:color="auto"/>
            <w:left w:val="none" w:sz="0" w:space="0" w:color="auto"/>
            <w:bottom w:val="none" w:sz="0" w:space="0" w:color="auto"/>
            <w:right w:val="none" w:sz="0" w:space="0" w:color="auto"/>
          </w:divBdr>
        </w:div>
        <w:div w:id="1187912698">
          <w:marLeft w:val="0"/>
          <w:marRight w:val="0"/>
          <w:marTop w:val="0"/>
          <w:marBottom w:val="0"/>
          <w:divBdr>
            <w:top w:val="none" w:sz="0" w:space="0" w:color="auto"/>
            <w:left w:val="none" w:sz="0" w:space="0" w:color="auto"/>
            <w:bottom w:val="none" w:sz="0" w:space="0" w:color="auto"/>
            <w:right w:val="none" w:sz="0" w:space="0" w:color="auto"/>
          </w:divBdr>
        </w:div>
        <w:div w:id="1517965062">
          <w:marLeft w:val="0"/>
          <w:marRight w:val="0"/>
          <w:marTop w:val="0"/>
          <w:marBottom w:val="0"/>
          <w:divBdr>
            <w:top w:val="none" w:sz="0" w:space="0" w:color="auto"/>
            <w:left w:val="none" w:sz="0" w:space="0" w:color="auto"/>
            <w:bottom w:val="none" w:sz="0" w:space="0" w:color="auto"/>
            <w:right w:val="none" w:sz="0" w:space="0" w:color="auto"/>
          </w:divBdr>
        </w:div>
        <w:div w:id="1894654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1219/osf.io/dnbz9" TargetMode="External"/><Relationship Id="rId21" Type="http://schemas.openxmlformats.org/officeDocument/2006/relationships/hyperlink" Target="https://doi.org/10.1098/rsos.180593" TargetMode="External"/><Relationship Id="rId42" Type="http://schemas.openxmlformats.org/officeDocument/2006/relationships/hyperlink" Target="https://doi.org/10.1007/s10763-019-10039-8" TargetMode="External"/><Relationship Id="rId63" Type="http://schemas.openxmlformats.org/officeDocument/2006/relationships/hyperlink" Target="https://www.ofcom.org.uk/siteassets/resources/documents/research-and-data/online-research/online-nation/2021/rea-online-misinformation.pdf?v=326529" TargetMode="External"/><Relationship Id="rId84" Type="http://schemas.openxmlformats.org/officeDocument/2006/relationships/hyperlink" Target="https://doi.org/10.1177/1529100620946707" TargetMode="External"/><Relationship Id="rId138" Type="http://schemas.openxmlformats.org/officeDocument/2006/relationships/hyperlink" Target="https://doi.org/10.1093/pnasnexus/pgae035" TargetMode="External"/><Relationship Id="rId159" Type="http://schemas.openxmlformats.org/officeDocument/2006/relationships/header" Target="header1.xml"/><Relationship Id="rId107" Type="http://schemas.openxmlformats.org/officeDocument/2006/relationships/hyperlink" Target="https://doi.org/10.1111/bjep.12279" TargetMode="External"/><Relationship Id="rId11" Type="http://schemas.openxmlformats.org/officeDocument/2006/relationships/image" Target="media/image1.png"/><Relationship Id="rId32" Type="http://schemas.openxmlformats.org/officeDocument/2006/relationships/hyperlink" Target="https://doi.org/10.1080/0144929X.2024.2308046" TargetMode="External"/><Relationship Id="rId53" Type="http://schemas.openxmlformats.org/officeDocument/2006/relationships/hyperlink" Target="https://doi.org/10.1126/science.adq1814" TargetMode="External"/><Relationship Id="rId74" Type="http://schemas.openxmlformats.org/officeDocument/2006/relationships/hyperlink" Target="https://doi.org/10.4324/9781003163237" TargetMode="External"/><Relationship Id="rId128" Type="http://schemas.openxmlformats.org/officeDocument/2006/relationships/hyperlink" Target="https://doi.org/10.1038/s41467-022-30073-5" TargetMode="External"/><Relationship Id="rId149" Type="http://schemas.openxmlformats.org/officeDocument/2006/relationships/hyperlink" Target="https://doi.org/10.1017/9781009488815" TargetMode="External"/><Relationship Id="rId5" Type="http://schemas.openxmlformats.org/officeDocument/2006/relationships/numbering" Target="numbering.xml"/><Relationship Id="rId95" Type="http://schemas.openxmlformats.org/officeDocument/2006/relationships/hyperlink" Target="https://doi.org/10.1007/s00276-019-02280-1" TargetMode="External"/><Relationship Id="rId160" Type="http://schemas.openxmlformats.org/officeDocument/2006/relationships/footer" Target="footer1.xml"/><Relationship Id="rId22" Type="http://schemas.openxmlformats.org/officeDocument/2006/relationships/hyperlink" Target="https://doi.org/10.1126/sciadv.abf4393" TargetMode="External"/><Relationship Id="rId43" Type="http://schemas.openxmlformats.org/officeDocument/2006/relationships/hyperlink" Target="https://doi.org/10.1080/23808985.2024.2354357" TargetMode="External"/><Relationship Id="rId64" Type="http://schemas.openxmlformats.org/officeDocument/2006/relationships/hyperlink" Target="https://doi.org/10.31219/osf.io/mhpxa" TargetMode="External"/><Relationship Id="rId118" Type="http://schemas.openxmlformats.org/officeDocument/2006/relationships/hyperlink" Target="https://doi.org/10.3390/info12050201" TargetMode="External"/><Relationship Id="rId139" Type="http://schemas.openxmlformats.org/officeDocument/2006/relationships/hyperlink" Target="https://doi.org/10.1016/j.copsyc.2025.102194" TargetMode="External"/><Relationship Id="rId85" Type="http://schemas.openxmlformats.org/officeDocument/2006/relationships/hyperlink" Target="https://doi.org/10.1038/s41562-024-01881-0" TargetMode="External"/><Relationship Id="rId150" Type="http://schemas.openxmlformats.org/officeDocument/2006/relationships/hyperlink" Target="https://doi.org/10.1146/annurev-psych-020122-041854"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hyperlink" Target="https://doi.org/10.1080/15391523.2024.2338451" TargetMode="External"/><Relationship Id="rId38" Type="http://schemas.openxmlformats.org/officeDocument/2006/relationships/hyperlink" Target="https://doi.org/10.1177/0963721420915872" TargetMode="External"/><Relationship Id="rId59" Type="http://schemas.openxmlformats.org/officeDocument/2006/relationships/hyperlink" Target="https://doi.org/10.1038/s44159-021-00006-y" TargetMode="External"/><Relationship Id="rId103" Type="http://schemas.openxmlformats.org/officeDocument/2006/relationships/hyperlink" Target="https://doi.org/10.1177/17456916231190388" TargetMode="External"/><Relationship Id="rId108" Type="http://schemas.openxmlformats.org/officeDocument/2006/relationships/hyperlink" Target="https://www.isdglobal.org/wp-content/uploads/2022/10/Information-Warfare-and-Wikipedia.pdf" TargetMode="External"/><Relationship Id="rId124" Type="http://schemas.openxmlformats.org/officeDocument/2006/relationships/hyperlink" Target="https://doi.org/10.25916/kahm-zr94" TargetMode="External"/><Relationship Id="rId129" Type="http://schemas.openxmlformats.org/officeDocument/2006/relationships/hyperlink" Target="https://doi.org/10.1098/rsos.211953" TargetMode="External"/><Relationship Id="rId54" Type="http://schemas.openxmlformats.org/officeDocument/2006/relationships/hyperlink" Target="https://doi.org/10.1111/edth.12376" TargetMode="External"/><Relationship Id="rId70" Type="http://schemas.openxmlformats.org/officeDocument/2006/relationships/hyperlink" Target="https://doi.org/10.1016/j.tics.2024.08.007" TargetMode="External"/><Relationship Id="rId75" Type="http://schemas.openxmlformats.org/officeDocument/2006/relationships/hyperlink" Target="https://doi.org/10.1177/0093650221997719" TargetMode="External"/><Relationship Id="rId91" Type="http://schemas.openxmlformats.org/officeDocument/2006/relationships/hyperlink" Target="https://doi.org/10.1177/17456916231180809" TargetMode="External"/><Relationship Id="rId96" Type="http://schemas.openxmlformats.org/officeDocument/2006/relationships/hyperlink" Target="https://doi.org/10.1038/s41562-021-01056-1" TargetMode="External"/><Relationship Id="rId140" Type="http://schemas.openxmlformats.org/officeDocument/2006/relationships/hyperlink" Target="https://doi.org/10.1093/pnasnexus/pgad385" TargetMode="External"/><Relationship Id="rId145" Type="http://schemas.openxmlformats.org/officeDocument/2006/relationships/hyperlink" Target="https://doi.org/10.37016/mr-2020-124" TargetMode="Externa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45/3491102.3502040" TargetMode="External"/><Relationship Id="rId28" Type="http://schemas.openxmlformats.org/officeDocument/2006/relationships/hyperlink" Target="https://doi.org/10.1038/s41562-023-01641-6" TargetMode="External"/><Relationship Id="rId49" Type="http://schemas.openxmlformats.org/officeDocument/2006/relationships/hyperlink" Target="https://doi.org/10.1080/21645515.2024.2407204" TargetMode="External"/><Relationship Id="rId114" Type="http://schemas.openxmlformats.org/officeDocument/2006/relationships/hyperlink" Target="https://apo.org.au/sites/default/files/resource-files/2018-09/apo-nid190886.pdf" TargetMode="External"/><Relationship Id="rId119" Type="http://schemas.openxmlformats.org/officeDocument/2006/relationships/hyperlink" Target="https://doi.org/10.1177/23794607261417815" TargetMode="External"/><Relationship Id="rId44" Type="http://schemas.openxmlformats.org/officeDocument/2006/relationships/hyperlink" Target="https://doi.org/10.1111/jasp.13049" TargetMode="External"/><Relationship Id="rId60" Type="http://schemas.openxmlformats.org/officeDocument/2006/relationships/hyperlink" Target="https://doi.org/10.1186/s41235-024-00581-7" TargetMode="External"/><Relationship Id="rId65" Type="http://schemas.openxmlformats.org/officeDocument/2006/relationships/hyperlink" Target="https://data.europa.eu/doi/10.2766/283100" TargetMode="External"/><Relationship Id="rId81" Type="http://schemas.openxmlformats.org/officeDocument/2006/relationships/hyperlink" Target="https://www.aph.gov.au/Parliamentary_Business/Committees/Joint/Electoral_Matters/~/link.aspx?_id=59EB708D91904DB88857CD6E7C86B31F&amp;_z=z" TargetMode="External"/><Relationship Id="rId86" Type="http://schemas.openxmlformats.org/officeDocument/2006/relationships/hyperlink" Target="https://doi.org/10.1037/xge0001603" TargetMode="External"/><Relationship Id="rId130" Type="http://schemas.openxmlformats.org/officeDocument/2006/relationships/hyperlink" Target="https://doi.org/10.1017/bpp.2024.42" TargetMode="External"/><Relationship Id="rId135" Type="http://schemas.openxmlformats.org/officeDocument/2006/relationships/hyperlink" Target="https://doi.org/10.1126/sciadv.abo6254" TargetMode="External"/><Relationship Id="rId151" Type="http://schemas.openxmlformats.org/officeDocument/2006/relationships/hyperlink" Target="https://www.pmcsa.ac.nz/topics/building-young-peoples-resilience-through-media-and-information-literacy-and-digital-citizenship/" TargetMode="External"/><Relationship Id="rId156" Type="http://schemas.openxmlformats.org/officeDocument/2006/relationships/hyperlink" Target="https://doi.org/10.54501/jots.v2i1.139" TargetMode="External"/><Relationship Id="rId13" Type="http://schemas.openxmlformats.org/officeDocument/2006/relationships/hyperlink" Target="http://creativecommons.org/licenses/by/4.0/" TargetMode="External"/><Relationship Id="rId18" Type="http://schemas.openxmlformats.org/officeDocument/2006/relationships/image" Target="media/image5.png"/><Relationship Id="rId39" Type="http://schemas.openxmlformats.org/officeDocument/2006/relationships/hyperlink" Target="https://cor.stanford.edu/research/teaching-cor-across-the-curriculum/" TargetMode="External"/><Relationship Id="rId109" Type="http://schemas.openxmlformats.org/officeDocument/2006/relationships/hyperlink" Target="https://doi.org/10.1037/xge0001395" TargetMode="External"/><Relationship Id="rId34" Type="http://schemas.openxmlformats.org/officeDocument/2006/relationships/hyperlink" Target="https://doi.org/10.1038/s41562-022-01388-6" TargetMode="External"/><Relationship Id="rId50" Type="http://schemas.openxmlformats.org/officeDocument/2006/relationships/hyperlink" Target="https://skepticalscience.com/docs/Debunking_Handbook_2011.pdf" TargetMode="External"/><Relationship Id="rId55" Type="http://schemas.openxmlformats.org/officeDocument/2006/relationships/hyperlink" Target="https://doi.org/10.1073/pnas.2322823121" TargetMode="External"/><Relationship Id="rId76" Type="http://schemas.openxmlformats.org/officeDocument/2006/relationships/hyperlink" Target="https://doi.org/10.22492/ije.11.2.03" TargetMode="External"/><Relationship Id="rId97" Type="http://schemas.openxmlformats.org/officeDocument/2006/relationships/hyperlink" Target="https://doi.org/10.1038/s41562-022-01460-1" TargetMode="External"/><Relationship Id="rId104" Type="http://schemas.openxmlformats.org/officeDocument/2006/relationships/hyperlink" Target="https://doi.org/10.1080/15456870.2014.961636" TargetMode="External"/><Relationship Id="rId120" Type="http://schemas.openxmlformats.org/officeDocument/2006/relationships/hyperlink" Target="https://doi.org/10.60836/smyk-8669" TargetMode="External"/><Relationship Id="rId125" Type="http://schemas.openxmlformats.org/officeDocument/2006/relationships/hyperlink" Target="https://doi.org/10.1371/journal.pone.0210746" TargetMode="External"/><Relationship Id="rId141" Type="http://schemas.openxmlformats.org/officeDocument/2006/relationships/hyperlink" Target="https://doi.org/10.1017/S0003055423000138" TargetMode="External"/><Relationship Id="rId146" Type="http://schemas.openxmlformats.org/officeDocument/2006/relationships/hyperlink" Target="https://doi.org/10.1038/s44271-023-00054-5" TargetMode="External"/><Relationship Id="rId7" Type="http://schemas.openxmlformats.org/officeDocument/2006/relationships/settings" Target="settings.xml"/><Relationship Id="rId71" Type="http://schemas.openxmlformats.org/officeDocument/2006/relationships/hyperlink" Target="https://prebunking.withgoogle.com/eu-prebunking/" TargetMode="External"/><Relationship Id="rId92" Type="http://schemas.openxmlformats.org/officeDocument/2006/relationships/hyperlink" Target="https://doi.org/10.1080/10463283.2021.1876983"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apo.org.au/node/250026" TargetMode="External"/><Relationship Id="rId24" Type="http://schemas.openxmlformats.org/officeDocument/2006/relationships/hyperlink" Target="https://doi.org/10.2139/ssrn.3997980" TargetMode="External"/><Relationship Id="rId40" Type="http://schemas.openxmlformats.org/officeDocument/2006/relationships/hyperlink" Target="https://doi.org/10.1177/23328584231192106" TargetMode="External"/><Relationship Id="rId45" Type="http://schemas.openxmlformats.org/officeDocument/2006/relationships/hyperlink" Target="https://doi.org/10.1007/s12144-023-04284-y" TargetMode="External"/><Relationship Id="rId66" Type="http://schemas.openxmlformats.org/officeDocument/2006/relationships/hyperlink" Target="https://doi.org/10.1007/s11191-018-00022-0" TargetMode="External"/><Relationship Id="rId87" Type="http://schemas.openxmlformats.org/officeDocument/2006/relationships/hyperlink" Target="https://sks.to/db2020" TargetMode="External"/><Relationship Id="rId110" Type="http://schemas.openxmlformats.org/officeDocument/2006/relationships/hyperlink" Target="https://doi.org/10.1038/s41598-022-08437-0" TargetMode="External"/><Relationship Id="rId115" Type="http://schemas.openxmlformats.org/officeDocument/2006/relationships/hyperlink" Target="https://doi.org/10.60836/n1a2-dv63" TargetMode="External"/><Relationship Id="rId131" Type="http://schemas.openxmlformats.org/officeDocument/2006/relationships/hyperlink" Target="https://doi.org/10.1038/s41598-024-57560-7" TargetMode="External"/><Relationship Id="rId136" Type="http://schemas.openxmlformats.org/officeDocument/2006/relationships/hyperlink" Target="https://doi.org/10.1177/1474904117721373" TargetMode="External"/><Relationship Id="rId157" Type="http://schemas.openxmlformats.org/officeDocument/2006/relationships/hyperlink" Target="https://doi.org/10.1017/S1930297500008913" TargetMode="External"/><Relationship Id="rId61" Type="http://schemas.openxmlformats.org/officeDocument/2006/relationships/hyperlink" Target="https://doi.org/10.1098/rstb.2020.0145" TargetMode="External"/><Relationship Id="rId82" Type="http://schemas.openxmlformats.org/officeDocument/2006/relationships/hyperlink" Target="https://doi.org/10.1177/0002764219869406" TargetMode="External"/><Relationship Id="rId152" Type="http://schemas.openxmlformats.org/officeDocument/2006/relationships/hyperlink" Target="https://doi.org/10.70725/926509jtmzpi" TargetMode="External"/><Relationship Id="rId19" Type="http://schemas.openxmlformats.org/officeDocument/2006/relationships/hyperlink" Target="http://prike" TargetMode="External"/><Relationship Id="rId14" Type="http://schemas.openxmlformats.org/officeDocument/2006/relationships/hyperlink" Target="https://creativecommons.org/licenses/by/4.0/" TargetMode="External"/><Relationship Id="rId30" Type="http://schemas.openxmlformats.org/officeDocument/2006/relationships/hyperlink" Target="https://doi.org/10.5210/fm.v27i11.12754" TargetMode="External"/><Relationship Id="rId35" Type="http://schemas.openxmlformats.org/officeDocument/2006/relationships/hyperlink" Target="https://doi.org/10.3390/jintelligence11110207" TargetMode="External"/><Relationship Id="rId56" Type="http://schemas.openxmlformats.org/officeDocument/2006/relationships/hyperlink" Target="https://medialiteracy.org.au/wp-content/uploads/2021/10/AMLA-Consultation-Workshop-Report_UPDATE-25-10-2021.pdf." TargetMode="External"/><Relationship Id="rId77" Type="http://schemas.openxmlformats.org/officeDocument/2006/relationships/hyperlink" Target="https://doi.org/10.1002/rrq.301" TargetMode="External"/><Relationship Id="rId100" Type="http://schemas.openxmlformats.org/officeDocument/2006/relationships/hyperlink" Target="https://doi.org/10.1016/j.techfore.2021.121359" TargetMode="External"/><Relationship Id="rId105" Type="http://schemas.openxmlformats.org/officeDocument/2006/relationships/hyperlink" Target="https://doi.org/10.1038/s41586-024-07524-8" TargetMode="External"/><Relationship Id="rId126" Type="http://schemas.openxmlformats.org/officeDocument/2006/relationships/hyperlink" Target="https://doi.org/10.1038/s41562-024-02023-2" TargetMode="External"/><Relationship Id="rId147" Type="http://schemas.openxmlformats.org/officeDocument/2006/relationships/hyperlink" Target="https://doi.org/10.1111/sdi.12059" TargetMode="External"/><Relationship Id="rId8" Type="http://schemas.openxmlformats.org/officeDocument/2006/relationships/webSettings" Target="webSettings.xml"/><Relationship Id="rId51" Type="http://schemas.openxmlformats.org/officeDocument/2006/relationships/hyperlink" Target="https://doi.org/10.1371/journal.pone.0175799" TargetMode="External"/><Relationship Id="rId72" Type="http://schemas.openxmlformats.org/officeDocument/2006/relationships/hyperlink" Target="http://doi.org/10.3389/feduc.2022.721731" TargetMode="External"/><Relationship Id="rId93" Type="http://schemas.openxmlformats.org/officeDocument/2006/relationships/hyperlink" Target="https://doi.org/10.31234/osf.io/u8anb" TargetMode="External"/><Relationship Id="rId98" Type="http://schemas.openxmlformats.org/officeDocument/2006/relationships/hyperlink" Target="https://doi.org/10.1089/cyber.2023.0324" TargetMode="External"/><Relationship Id="rId121" Type="http://schemas.openxmlformats.org/officeDocument/2006/relationships/hyperlink" Target="https://doi.org/10.1080/09500693.2024.2331980" TargetMode="External"/><Relationship Id="rId142" Type="http://schemas.openxmlformats.org/officeDocument/2006/relationships/hyperlink" Target="https://doi.org/10.1016/j.cognition.2022.105276" TargetMode="External"/><Relationship Id="rId163"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hyperlink" Target="https://doi.org/10.1177/20563051221150412" TargetMode="External"/><Relationship Id="rId46" Type="http://schemas.openxmlformats.org/officeDocument/2006/relationships/hyperlink" Target="https://doi.org/10.1038/s44271-025-00381-9" TargetMode="External"/><Relationship Id="rId67" Type="http://schemas.openxmlformats.org/officeDocument/2006/relationships/hyperlink" Target="https://doi.org/10.37016/mr-2020-009" TargetMode="External"/><Relationship Id="rId116" Type="http://schemas.openxmlformats.org/officeDocument/2006/relationships/hyperlink" Target="https://apo.org.au/node/324686" TargetMode="External"/><Relationship Id="rId137" Type="http://schemas.openxmlformats.org/officeDocument/2006/relationships/hyperlink" Target="https://doi.org/10.5617/adno.8350" TargetMode="External"/><Relationship Id="rId158" Type="http://schemas.openxmlformats.org/officeDocument/2006/relationships/hyperlink" Target="https://doi.org/10.1177/14614448231191138" TargetMode="External"/><Relationship Id="rId20" Type="http://schemas.openxmlformats.org/officeDocument/2006/relationships/image" Target="media/image6.png"/><Relationship Id="rId41" Type="http://schemas.openxmlformats.org/officeDocument/2006/relationships/hyperlink" Target="https://doi.org/10.1177/23328584211038937" TargetMode="External"/><Relationship Id="rId62" Type="http://schemas.openxmlformats.org/officeDocument/2006/relationships/hyperlink" Target="https://doi.org/10.1037/amp0001448" TargetMode="External"/><Relationship Id="rId83" Type="http://schemas.openxmlformats.org/officeDocument/2006/relationships/hyperlink" Target="https://doi.org/10.1073/pnas.2210666120" TargetMode="External"/><Relationship Id="rId88" Type="http://schemas.openxmlformats.org/officeDocument/2006/relationships/hyperlink" Target="https://doi.org/10.1016/j.jarmac.2017.07.008" TargetMode="External"/><Relationship Id="rId111" Type="http://schemas.openxmlformats.org/officeDocument/2006/relationships/hyperlink" Target="https://doi.org/10.1177/20531680231187271" TargetMode="External"/><Relationship Id="rId132" Type="http://schemas.openxmlformats.org/officeDocument/2006/relationships/hyperlink" Target="https://doi.org/10.48550/arXiv.2404.15673" TargetMode="External"/><Relationship Id="rId153" Type="http://schemas.openxmlformats.org/officeDocument/2006/relationships/hyperlink" Target="https://doi.org/10.1136/bmjopen-2021-050557" TargetMode="External"/><Relationship Id="rId15" Type="http://schemas.openxmlformats.org/officeDocument/2006/relationships/hyperlink" Target="https://creativecommons.org/licenses/by/4.0/legalcode" TargetMode="External"/><Relationship Id="rId36" Type="http://schemas.openxmlformats.org/officeDocument/2006/relationships/hyperlink" Target="https://doi.org/10.1016/j.appdev.2020.101162" TargetMode="External"/><Relationship Id="rId57" Type="http://schemas.openxmlformats.org/officeDocument/2006/relationships/hyperlink" Target="https://doi.org/10.3758/s13421-020-01129-y" TargetMode="External"/><Relationship Id="rId106" Type="http://schemas.openxmlformats.org/officeDocument/2006/relationships/hyperlink" Target="https://doi.org/10.1177/23328584231176451" TargetMode="External"/><Relationship Id="rId127" Type="http://schemas.openxmlformats.org/officeDocument/2006/relationships/hyperlink" Target="https://doi.org/10.1038/s41586-021-03344-2" TargetMode="External"/><Relationship Id="rId10" Type="http://schemas.openxmlformats.org/officeDocument/2006/relationships/endnotes" Target="endnotes.xml"/><Relationship Id="rId31" Type="http://schemas.openxmlformats.org/officeDocument/2006/relationships/hyperlink" Target="https://doi.org/10.3390/fi13030060" TargetMode="External"/><Relationship Id="rId52" Type="http://schemas.openxmlformats.org/officeDocument/2006/relationships/hyperlink" Target="https://doi.org/10.1007/s13384-021-00457-5" TargetMode="External"/><Relationship Id="rId73" Type="http://schemas.openxmlformats.org/officeDocument/2006/relationships/hyperlink" Target="https://doi.org/10.1073/pnas.1920498117" TargetMode="External"/><Relationship Id="rId78" Type="http://schemas.openxmlformats.org/officeDocument/2006/relationships/hyperlink" Target="https://doi.org/10.1080/09523987.2013.862364" TargetMode="External"/><Relationship Id="rId94" Type="http://schemas.openxmlformats.org/officeDocument/2006/relationships/hyperlink" Target="https://arxiv.org/abs/2410.19202v1" TargetMode="External"/><Relationship Id="rId99" Type="http://schemas.openxmlformats.org/officeDocument/2006/relationships/hyperlink" Target="https://doi.org/10.1093/abm/kaae054" TargetMode="External"/><Relationship Id="rId101" Type="http://schemas.openxmlformats.org/officeDocument/2006/relationships/hyperlink" Target="https://psycnet.apa.org/doi/10.1037/xap0000315" TargetMode="External"/><Relationship Id="rId122" Type="http://schemas.openxmlformats.org/officeDocument/2006/relationships/hyperlink" Target="https://doi.org/10.1126/science.abq8093" TargetMode="External"/><Relationship Id="rId143" Type="http://schemas.openxmlformats.org/officeDocument/2006/relationships/hyperlink" Target="https://doi.org/10.1111/pops.12586" TargetMode="External"/><Relationship Id="rId148" Type="http://schemas.openxmlformats.org/officeDocument/2006/relationships/hyperlink" Target="https://digitalinclusionindex.org.au/wp-content/uploads/2025/09/ADII_2021_Summary-report_V1.pdf"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31234/osf.io/hq5ru" TargetMode="External"/><Relationship Id="rId47" Type="http://schemas.openxmlformats.org/officeDocument/2006/relationships/hyperlink" Target="https://doi.org/10.31219/osf.io/6ay7s" TargetMode="External"/><Relationship Id="rId68" Type="http://schemas.openxmlformats.org/officeDocument/2006/relationships/hyperlink" Target="https://doi.org/10.31234/osf.io/uyjha" TargetMode="External"/><Relationship Id="rId89" Type="http://schemas.openxmlformats.org/officeDocument/2006/relationships/hyperlink" Target="https://doi.org/10.1016/j.copsyc.2023.101711" TargetMode="External"/><Relationship Id="rId112" Type="http://schemas.openxmlformats.org/officeDocument/2006/relationships/hyperlink" Target="https://doi.org/10.23860/JMLE-2018-10-2-4" TargetMode="External"/><Relationship Id="rId133" Type="http://schemas.openxmlformats.org/officeDocument/2006/relationships/hyperlink" Target="https://doi.org/10.1016/j.pec.2024.108168" TargetMode="External"/><Relationship Id="rId154" Type="http://schemas.openxmlformats.org/officeDocument/2006/relationships/hyperlink" Target="https://psycnet.apa.org/doi/10.1037/edu0000740" TargetMode="External"/><Relationship Id="rId16" Type="http://schemas.openxmlformats.org/officeDocument/2006/relationships/image" Target="media/image3.png"/><Relationship Id="rId37" Type="http://schemas.openxmlformats.org/officeDocument/2006/relationships/hyperlink" Target="https://doi.org/10.1016/j.copsyc.2024.101813" TargetMode="External"/><Relationship Id="rId58" Type="http://schemas.openxmlformats.org/officeDocument/2006/relationships/hyperlink" Target="https://doi.org/10.1037/xap0000028" TargetMode="External"/><Relationship Id="rId79" Type="http://schemas.openxmlformats.org/officeDocument/2006/relationships/hyperlink" Target="https://doi.org/10.1057/s41599-020-00701-w" TargetMode="External"/><Relationship Id="rId102" Type="http://schemas.openxmlformats.org/officeDocument/2006/relationships/hyperlink" Target="https://doi.org/10.1038/s41467-025-57205-x" TargetMode="External"/><Relationship Id="rId123" Type="http://schemas.openxmlformats.org/officeDocument/2006/relationships/hyperlink" Target="https://doi.org/10.60836/jpmm-dw04" TargetMode="External"/><Relationship Id="rId144" Type="http://schemas.openxmlformats.org/officeDocument/2006/relationships/hyperlink" Target="https://doi.org/10.31234/osf.io/w7gja" TargetMode="External"/><Relationship Id="rId90" Type="http://schemas.openxmlformats.org/officeDocument/2006/relationships/hyperlink" Target="https://doi.org/10.1057/s41599-024-03503-6" TargetMode="External"/><Relationship Id="rId165" Type="http://schemas.openxmlformats.org/officeDocument/2006/relationships/theme" Target="theme/theme1.xml"/><Relationship Id="rId27" Type="http://schemas.openxmlformats.org/officeDocument/2006/relationships/hyperlink" Target="https://doi.org/10.1177/19401612221148981" TargetMode="External"/><Relationship Id="rId48" Type="http://schemas.openxmlformats.org/officeDocument/2006/relationships/hyperlink" Target="https://doi.org/10.1080/13504622.2022.2085671" TargetMode="External"/><Relationship Id="rId69" Type="http://schemas.openxmlformats.org/officeDocument/2006/relationships/hyperlink" Target="https://doi.org/10.25916/faf0-2s66" TargetMode="External"/><Relationship Id="rId113" Type="http://schemas.openxmlformats.org/officeDocument/2006/relationships/hyperlink" Target="https://doi.org/10.1093/biosci/biz018" TargetMode="External"/><Relationship Id="rId134" Type="http://schemas.openxmlformats.org/officeDocument/2006/relationships/hyperlink" Target="https://doi.org/10.56296/aip00019" TargetMode="External"/><Relationship Id="rId80" Type="http://schemas.openxmlformats.org/officeDocument/2006/relationships/hyperlink" Target="https://doi.org/10.1111/j.1460-2466.2012.01658.x" TargetMode="External"/><Relationship Id="rId155" Type="http://schemas.openxmlformats.org/officeDocument/2006/relationships/hyperlink" Target="https://doi.org/10.1177/01614681191210110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isuloome.e-koolikott.ee/" TargetMode="External"/><Relationship Id="rId3" Type="http://schemas.openxmlformats.org/officeDocument/2006/relationships/hyperlink" Target="https://www.squizkids.com.au/about-newshounds" TargetMode="External"/><Relationship Id="rId7" Type="http://schemas.openxmlformats.org/officeDocument/2006/relationships/hyperlink" Target="https://www.abc.net.au/education/media-literacy" TargetMode="External"/><Relationship Id="rId2" Type="http://schemas.openxmlformats.org/officeDocument/2006/relationships/hyperlink" Target="https://medialiteracy.org.au/media-literacy-framework/" TargetMode="External"/><Relationship Id="rId1" Type="http://schemas.openxmlformats.org/officeDocument/2006/relationships/hyperlink" Target="https://www.dfat.gov.au/news/media-release/global-declaration-information-integrity-online" TargetMode="External"/><Relationship Id="rId6" Type="http://schemas.openxmlformats.org/officeDocument/2006/relationships/hyperlink" Target="https://www.abc.net.au/education/media-literacy" TargetMode="External"/><Relationship Id="rId5" Type="http://schemas.openxmlformats.org/officeDocument/2006/relationships/hyperlink" Target="https://www.nfsa.gov.au/learning/learning-programs/at-the-nfsa/media-and-me" TargetMode="External"/><Relationship Id="rId4" Type="http://schemas.openxmlformats.org/officeDocument/2006/relationships/hyperlink" Target="https://www.squizkids.com.au/about-newshoun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of the Chief Scientist">
      <a:dk1>
        <a:srgbClr val="000000"/>
      </a:dk1>
      <a:lt1>
        <a:sysClr val="window" lastClr="FFFFFF"/>
      </a:lt1>
      <a:dk2>
        <a:srgbClr val="00294E"/>
      </a:dk2>
      <a:lt2>
        <a:srgbClr val="E7E6E6"/>
      </a:lt2>
      <a:accent1>
        <a:srgbClr val="377C0B"/>
      </a:accent1>
      <a:accent2>
        <a:srgbClr val="95C423"/>
      </a:accent2>
      <a:accent3>
        <a:srgbClr val="1B4666"/>
      </a:accent3>
      <a:accent4>
        <a:srgbClr val="58595B"/>
      </a:accent4>
      <a:accent5>
        <a:srgbClr val="859AAF"/>
      </a:accent5>
      <a:accent6>
        <a:srgbClr val="AAC2D6"/>
      </a:accent6>
      <a:hlink>
        <a:srgbClr val="377C0B"/>
      </a:hlink>
      <a:folHlink>
        <a:srgbClr val="808285"/>
      </a:folHlink>
    </a:clrScheme>
    <a:fontScheme name="DISR">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13a9e52c11b42fca553006b5a46d2d8 xmlns="86c96d13-3f4b-48aa-a619-a126d8504f5d">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bf0cdf49-4b3d-4b71-a0d9-facd60d27320</TermId>
        </TermInfo>
      </Terms>
    </d13a9e52c11b42fca553006b5a46d2d8>
    <o748408ad332425290ce52b1cb91225b xmlns="86c96d13-3f4b-48aa-a619-a126d8504f5d">
      <Terms xmlns="http://schemas.microsoft.com/office/infopath/2007/PartnerControls"/>
    </o748408ad332425290ce52b1cb91225b>
    <kffe45ab1d90451dbff5c7dfdb92d750 xmlns="86c96d13-3f4b-48aa-a619-a126d8504f5d">
      <Terms xmlns="http://schemas.microsoft.com/office/infopath/2007/PartnerControls"/>
    </kffe45ab1d90451dbff5c7dfdb92d750>
    <Comments xmlns="http://schemas.microsoft.com/sharepoint/v3" xsi:nil="true"/>
    <k5729fa35dfe4717a44f4f0b00cbb435 xmlns="86c96d13-3f4b-48aa-a619-a126d8504f5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k5729fa35dfe4717a44f4f0b00cbb435>
    <lcf76f155ced4ddcb4097134ff3c332f xmlns="5794fa97-a54a-4f8a-81fb-ebdc27eb9654">
      <Terms xmlns="http://schemas.microsoft.com/office/infopath/2007/PartnerControls"/>
    </lcf76f155ced4ddcb4097134ff3c332f>
    <TaxCatchAll xmlns="86c96d13-3f4b-48aa-a619-a126d8504f5d">
      <Value>101</Value>
      <Value>2</Value>
      <Value>35</Value>
    </TaxCatchAll>
    <k6f7b262824142cfa3ce93a992d0a990 xmlns="86c96d13-3f4b-48aa-a619-a126d8504f5d">
      <Terms xmlns="http://schemas.microsoft.com/office/infopath/2007/PartnerControls">
        <TermInfo xmlns="http://schemas.microsoft.com/office/infopath/2007/PartnerControls">
          <TermName xmlns="http://schemas.microsoft.com/office/infopath/2007/PartnerControls">Information Resilience</TermName>
          <TermId xmlns="http://schemas.microsoft.com/office/infopath/2007/PartnerControls">6ab54ddf-c636-475d-8db1-0e48c2ba427c</TermId>
        </TermInfo>
      </Terms>
    </k6f7b262824142cfa3ce93a992d0a99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69BCF0EAF80040BE1AD7F3298FF28E" ma:contentTypeVersion="24" ma:contentTypeDescription="Create a new document." ma:contentTypeScope="" ma:versionID="2434db8ea5c8783adcf232c18055bdf5">
  <xsd:schema xmlns:xsd="http://www.w3.org/2001/XMLSchema" xmlns:xs="http://www.w3.org/2001/XMLSchema" xmlns:p="http://schemas.microsoft.com/office/2006/metadata/properties" xmlns:ns1="http://schemas.microsoft.com/sharepoint/v3" xmlns:ns2="86c96d13-3f4b-48aa-a619-a126d8504f5d" xmlns:ns3="5794fa97-a54a-4f8a-81fb-ebdc27eb9654" targetNamespace="http://schemas.microsoft.com/office/2006/metadata/properties" ma:root="true" ma:fieldsID="2404c0bad38872b52a460198b1e29beb" ns1:_="" ns2:_="" ns3:_="">
    <xsd:import namespace="http://schemas.microsoft.com/sharepoint/v3"/>
    <xsd:import namespace="86c96d13-3f4b-48aa-a619-a126d8504f5d"/>
    <xsd:import namespace="5794fa97-a54a-4f8a-81fb-ebdc27eb9654"/>
    <xsd:element name="properties">
      <xsd:complexType>
        <xsd:sequence>
          <xsd:element name="documentManagement">
            <xsd:complexType>
              <xsd:all>
                <xsd:element ref="ns2:d13a9e52c11b42fca553006b5a46d2d8" minOccurs="0"/>
                <xsd:element ref="ns2:TaxCatchAll" minOccurs="0"/>
                <xsd:element ref="ns2:o748408ad332425290ce52b1cb91225b" minOccurs="0"/>
                <xsd:element ref="ns2:k5729fa35dfe4717a44f4f0b00cbb435" minOccurs="0"/>
                <xsd:element ref="ns2:kffe45ab1d90451dbff5c7dfdb92d750"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k6f7b262824142cfa3ce93a992d0a990"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c96d13-3f4b-48aa-a619-a126d8504f5d" elementFormDefault="qualified">
    <xsd:import namespace="http://schemas.microsoft.com/office/2006/documentManagement/types"/>
    <xsd:import namespace="http://schemas.microsoft.com/office/infopath/2007/PartnerControls"/>
    <xsd:element name="d13a9e52c11b42fca553006b5a46d2d8" ma:index="9" ma:taxonomy="true" ma:internalName="d13a9e52c11b42fca553006b5a46d2d8" ma:taxonomyFieldName="Stratus_DocumentType" ma:displayName="Document Type" ma:fieldId="{d13a9e52-c11b-42fc-a553-006b5a46d2d8}"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b058176-8b0d-44f1-be5e-59991f08ec50}" ma:internalName="TaxCatchAll" ma:showField="CatchAllData" ma:web="86c96d13-3f4b-48aa-a619-a126d8504f5d">
      <xsd:complexType>
        <xsd:complexContent>
          <xsd:extension base="dms:MultiChoiceLookup">
            <xsd:sequence>
              <xsd:element name="Value" type="dms:Lookup" maxOccurs="unbounded" minOccurs="0" nillable="true"/>
            </xsd:sequence>
          </xsd:extension>
        </xsd:complexContent>
      </xsd:complexType>
    </xsd:element>
    <xsd:element name="o748408ad332425290ce52b1cb91225b" ma:index="12" nillable="true" ma:taxonomy="true" ma:internalName="o748408ad332425290ce52b1cb91225b" ma:taxonomyFieldName="Stratus_WorkActivity" ma:displayName="Work Activity" ma:fieldId="{8748408a-d332-4252-90ce-52b1cb91225b}"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k5729fa35dfe4717a44f4f0b00cbb435" ma:index="14" ma:taxonomy="true" ma:internalName="k5729fa35dfe4717a44f4f0b00cbb435" ma:taxonomyFieldName="Stratus_SecurityClassification" ma:displayName="Security Classification" ma:fieldId="{45729fa3-5dfe-4717-a44f-4f0b00cbb435}"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kffe45ab1d90451dbff5c7dfdb92d750" ma:index="16" nillable="true" ma:taxonomy="true" ma:internalName="kffe45ab1d90451dbff5c7dfdb92d750" ma:taxonomyFieldName="Stratus_Year" ma:displayName="Year" ma:fieldId="{4ffe45ab-1d90-451d-bff5-c7dfdb92d750}"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k6f7b262824142cfa3ce93a992d0a990" ma:index="23" nillable="true" ma:taxonomy="true" ma:internalName="k6f7b262824142cfa3ce93a992d0a990" ma:taxonomyFieldName="Stratus_OCSProjects" ma:displayName="Project" ma:readOnly="false" ma:default="" ma:fieldId="{46f7b262-8241-42cf-a3ce-93a992d0a990}" ma:sspId="b6206a2c-5ee7-4d50-b3ee-2668e744af9d" ma:termSetId="5492c827-7c54-4bfe-ac29-25887cf142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94fa97-a54a-4f8a-81fb-ebdc27eb965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F4D0A-C076-4979-89F4-EC479298943D}">
  <ds:schemaRefs>
    <ds:schemaRef ds:uri="http://schemas.microsoft.com/sharepoint/v3/contenttype/forms"/>
  </ds:schemaRefs>
</ds:datastoreItem>
</file>

<file path=customXml/itemProps2.xml><?xml version="1.0" encoding="utf-8"?>
<ds:datastoreItem xmlns:ds="http://schemas.openxmlformats.org/officeDocument/2006/customXml" ds:itemID="{75BDB112-7485-4442-BF68-15346714852E}">
  <ds:schemaRefs>
    <ds:schemaRef ds:uri="http://schemas.microsoft.com/office/2006/metadata/properties"/>
    <ds:schemaRef ds:uri="http://schemas.microsoft.com/office/infopath/2007/PartnerControls"/>
    <ds:schemaRef ds:uri="86c96d13-3f4b-48aa-a619-a126d8504f5d"/>
    <ds:schemaRef ds:uri="http://schemas.microsoft.com/sharepoint/v3"/>
    <ds:schemaRef ds:uri="5794fa97-a54a-4f8a-81fb-ebdc27eb9654"/>
  </ds:schemaRefs>
</ds:datastoreItem>
</file>

<file path=customXml/itemProps3.xml><?xml version="1.0" encoding="utf-8"?>
<ds:datastoreItem xmlns:ds="http://schemas.openxmlformats.org/officeDocument/2006/customXml" ds:itemID="{DF213DA6-20D0-4B0B-BBA9-D34808903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c96d13-3f4b-48aa-a619-a126d8504f5d"/>
    <ds:schemaRef ds:uri="5794fa97-a54a-4f8a-81fb-ebdc27eb9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0A60BD-B559-409D-8E41-3CF408F09211}">
  <ds:schemaRefs>
    <ds:schemaRef ds:uri="http://schemas.openxmlformats.org/officeDocument/2006/bibliography"/>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15418</Words>
  <Characters>87886</Characters>
  <Application>Microsoft Office Word</Application>
  <DocSecurity>4</DocSecurity>
  <Lines>732</Lines>
  <Paragraphs>206</Paragraphs>
  <ScaleCrop>false</ScaleCrop>
  <Manager/>
  <Company/>
  <LinksUpToDate>false</LinksUpToDate>
  <CharactersWithSpaces>103098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Scott-Bohanna, Nina</cp:lastModifiedBy>
  <cp:revision>2</cp:revision>
  <dcterms:created xsi:type="dcterms:W3CDTF">2026-04-01T20:21:00Z</dcterms:created>
  <dcterms:modified xsi:type="dcterms:W3CDTF">2026-04-01T06:19:00Z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Stratus_WorkActivity">
    <vt:lpwstr/>
  </property>
  <property fmtid="{D5CDD505-2E9C-101B-9397-08002B2CF9AE}" pid="4" name="ClassificationContentMarkingHeaderText">
    <vt:lpwstr>OFFICIAL</vt:lpwstr>
  </property>
  <property fmtid="{D5CDD505-2E9C-101B-9397-08002B2CF9AE}" pid="5" name="MediaServiceImageTags">
    <vt:lpwstr/>
  </property>
  <property fmtid="{D5CDD505-2E9C-101B-9397-08002B2CF9AE}" pid="6" name="ContentTypeId">
    <vt:lpwstr>0x0101008569BCF0EAF80040BE1AD7F3298FF28E</vt:lpwstr>
  </property>
  <property fmtid="{D5CDD505-2E9C-101B-9397-08002B2CF9AE}" pid="7" name="ClassificationContentMarkingHeaderFontProps">
    <vt:lpwstr>#c00000,12,Calibri</vt:lpwstr>
  </property>
  <property fmtid="{D5CDD505-2E9C-101B-9397-08002B2CF9AE}" pid="8" name="Stratus_Year">
    <vt:lpwstr/>
  </property>
  <property fmtid="{D5CDD505-2E9C-101B-9397-08002B2CF9AE}" pid="9" name="Stratus_DocumentType">
    <vt:lpwstr>35;#Template|bf0cdf49-4b3d-4b71-a0d9-facd60d27320</vt:lpwstr>
  </property>
  <property fmtid="{D5CDD505-2E9C-101B-9397-08002B2CF9AE}" pid="10" name="docLang">
    <vt:lpwstr>en</vt:lpwstr>
  </property>
  <property fmtid="{D5CDD505-2E9C-101B-9397-08002B2CF9AE}" pid="11" name="Stratus_SecurityClassification">
    <vt:lpwstr>2;#OFFICIAL|1077e141-03cb-4307-8c0f-d43dc85f509f</vt:lpwstr>
  </property>
  <property fmtid="{D5CDD505-2E9C-101B-9397-08002B2CF9AE}" pid="12" name="ClassificationContentMarkingFooterShapeIds">
    <vt:lpwstr>7d6278cd,43dafd49,7f0fddbe</vt:lpwstr>
  </property>
  <property fmtid="{D5CDD505-2E9C-101B-9397-08002B2CF9AE}" pid="13" name="ClassificationContentMarkingHeaderShapeIds">
    <vt:lpwstr>45733aa6,589f49c5,1af92532</vt:lpwstr>
  </property>
  <property fmtid="{D5CDD505-2E9C-101B-9397-08002B2CF9AE}" pid="14" name="ClassificationContentMarkingFooterFontProps">
    <vt:lpwstr>#c00000,12,Calibri</vt:lpwstr>
  </property>
  <property fmtid="{D5CDD505-2E9C-101B-9397-08002B2CF9AE}" pid="15" name="Stratus_OCSProjects">
    <vt:lpwstr>101;#Information Resilience|6ab54ddf-c636-475d-8db1-0e48c2ba427c</vt:lpwstr>
  </property>
</Properties>
</file>